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7A3FD" w14:textId="77777777" w:rsidR="0073458A" w:rsidRDefault="00CE196F" w:rsidP="0073458A">
      <w:pPr>
        <w:tabs>
          <w:tab w:val="left" w:pos="12420"/>
        </w:tabs>
        <w:ind w:left="-540" w:right="1487"/>
        <w:jc w:val="right"/>
        <w:rPr>
          <w:rFonts w:asciiTheme="majorHAnsi" w:hAnsiTheme="majorHAnsi" w:cstheme="majorHAnsi"/>
          <w:b/>
          <w:sz w:val="22"/>
          <w:szCs w:val="22"/>
        </w:rPr>
      </w:pPr>
      <w:r w:rsidRPr="00BC6AE2">
        <w:rPr>
          <w:rFonts w:asciiTheme="majorHAnsi" w:hAnsiTheme="majorHAnsi" w:cstheme="majorHAnsi"/>
          <w:b/>
          <w:sz w:val="22"/>
          <w:szCs w:val="22"/>
        </w:rPr>
        <w:t xml:space="preserve">Anexa nr. </w:t>
      </w:r>
      <w:r w:rsidR="009B7106" w:rsidRPr="00BC6AE2">
        <w:rPr>
          <w:rFonts w:asciiTheme="majorHAnsi" w:hAnsiTheme="majorHAnsi" w:cstheme="majorHAnsi"/>
          <w:b/>
          <w:sz w:val="22"/>
          <w:szCs w:val="22"/>
        </w:rPr>
        <w:t>7</w:t>
      </w:r>
      <w:r w:rsidRPr="00BC6AE2">
        <w:rPr>
          <w:rFonts w:asciiTheme="majorHAnsi" w:hAnsiTheme="majorHAnsi" w:cstheme="majorHAnsi"/>
          <w:b/>
          <w:sz w:val="22"/>
          <w:szCs w:val="22"/>
        </w:rPr>
        <w:t xml:space="preserve"> </w:t>
      </w:r>
    </w:p>
    <w:p w14:paraId="18881A65" w14:textId="5246CF9D" w:rsidR="00CE196F" w:rsidRPr="00BC6AE2" w:rsidRDefault="00CE196F" w:rsidP="0073458A">
      <w:pPr>
        <w:tabs>
          <w:tab w:val="left" w:pos="12420"/>
        </w:tabs>
        <w:ind w:left="-540" w:right="1487"/>
        <w:jc w:val="right"/>
        <w:rPr>
          <w:rFonts w:asciiTheme="majorHAnsi" w:hAnsiTheme="majorHAnsi" w:cstheme="majorHAnsi"/>
          <w:b/>
          <w:bCs/>
          <w:sz w:val="22"/>
          <w:szCs w:val="22"/>
        </w:rPr>
      </w:pPr>
      <w:r w:rsidRPr="00BC6AE2">
        <w:rPr>
          <w:rFonts w:asciiTheme="majorHAnsi" w:hAnsiTheme="majorHAnsi" w:cstheme="majorHAnsi"/>
          <w:b/>
          <w:sz w:val="22"/>
          <w:szCs w:val="22"/>
        </w:rPr>
        <w:t xml:space="preserve">la Ghidul Solicitantului – pentru acțiunea </w:t>
      </w:r>
      <w:r w:rsidRPr="00BC6AE2">
        <w:rPr>
          <w:rFonts w:asciiTheme="majorHAnsi" w:hAnsiTheme="majorHAnsi" w:cstheme="majorHAnsi"/>
          <w:b/>
          <w:bCs/>
          <w:sz w:val="22"/>
          <w:szCs w:val="22"/>
        </w:rPr>
        <w:t>„Sprijinirea tranziției forței de muncă” – componenta „Sprijin pentru adaptarea la schimbare a lucrătorilor, întreprinderilor și antreprenorilor” din cadrul Programului Tranziție Justă 2021 – 2027</w:t>
      </w:r>
    </w:p>
    <w:p w14:paraId="27C86E6E" w14:textId="77777777" w:rsidR="005E49FF" w:rsidRPr="001B5FE8" w:rsidRDefault="005E49FF" w:rsidP="00A24B4B">
      <w:pPr>
        <w:tabs>
          <w:tab w:val="left" w:pos="12420"/>
        </w:tabs>
        <w:spacing w:before="0" w:after="0"/>
        <w:ind w:left="-540" w:right="1487"/>
        <w:jc w:val="both"/>
        <w:rPr>
          <w:rFonts w:asciiTheme="majorHAnsi" w:hAnsiTheme="majorHAnsi" w:cstheme="majorHAnsi"/>
          <w:sz w:val="24"/>
        </w:rPr>
      </w:pPr>
    </w:p>
    <w:p w14:paraId="5561ED68" w14:textId="77777777" w:rsidR="005E49FF" w:rsidRPr="001B5FE8" w:rsidRDefault="005E49FF" w:rsidP="00E82487">
      <w:pPr>
        <w:spacing w:before="0" w:after="0"/>
        <w:jc w:val="center"/>
        <w:rPr>
          <w:rFonts w:asciiTheme="majorHAnsi" w:hAnsiTheme="majorHAnsi" w:cstheme="majorHAnsi"/>
          <w:b/>
          <w:bCs/>
          <w:sz w:val="24"/>
        </w:rPr>
      </w:pPr>
    </w:p>
    <w:p w14:paraId="6C29DB07" w14:textId="13E1B824" w:rsidR="00CE196F" w:rsidRPr="001B5FE8" w:rsidRDefault="00E82487" w:rsidP="00E82487">
      <w:pPr>
        <w:spacing w:before="0" w:after="0"/>
        <w:jc w:val="center"/>
        <w:rPr>
          <w:rFonts w:asciiTheme="majorHAnsi" w:hAnsiTheme="majorHAnsi" w:cstheme="majorHAnsi"/>
          <w:b/>
          <w:bCs/>
          <w:sz w:val="24"/>
        </w:rPr>
      </w:pPr>
      <w:r w:rsidRPr="001B5FE8">
        <w:rPr>
          <w:rFonts w:asciiTheme="majorHAnsi" w:hAnsiTheme="majorHAnsi" w:cstheme="majorHAnsi"/>
          <w:b/>
          <w:bCs/>
          <w:sz w:val="24"/>
        </w:rPr>
        <w:t>Grilă de verificare în etapa de contractare</w:t>
      </w:r>
    </w:p>
    <w:p w14:paraId="3DF97BBD" w14:textId="77777777" w:rsidR="00CE196F" w:rsidRPr="001B5FE8" w:rsidRDefault="00CE196F" w:rsidP="00A76FBA">
      <w:pPr>
        <w:spacing w:before="0" w:after="0"/>
        <w:jc w:val="both"/>
        <w:rPr>
          <w:rFonts w:asciiTheme="majorHAnsi" w:hAnsiTheme="majorHAnsi" w:cstheme="majorHAnsi"/>
          <w:sz w:val="22"/>
          <w:szCs w:val="22"/>
        </w:rPr>
      </w:pPr>
    </w:p>
    <w:p w14:paraId="30878F1E" w14:textId="77777777" w:rsidR="00CE196F" w:rsidRPr="001B5FE8" w:rsidRDefault="00CE196F" w:rsidP="00A76FBA">
      <w:pPr>
        <w:spacing w:before="0" w:after="0"/>
        <w:jc w:val="both"/>
        <w:rPr>
          <w:rFonts w:asciiTheme="majorHAnsi" w:hAnsiTheme="majorHAnsi" w:cstheme="majorHAnsi"/>
          <w:sz w:val="22"/>
          <w:szCs w:val="22"/>
        </w:rPr>
      </w:pPr>
    </w:p>
    <w:tbl>
      <w:tblPr>
        <w:tblStyle w:val="GridTable6Colorful-Accent5"/>
        <w:tblW w:w="12952" w:type="dxa"/>
        <w:tblInd w:w="-545" w:type="dxa"/>
        <w:tblLook w:val="04A0" w:firstRow="1" w:lastRow="0" w:firstColumn="1" w:lastColumn="0" w:noHBand="0" w:noVBand="1"/>
      </w:tblPr>
      <w:tblGrid>
        <w:gridCol w:w="833"/>
        <w:gridCol w:w="3989"/>
        <w:gridCol w:w="2198"/>
        <w:gridCol w:w="5932"/>
      </w:tblGrid>
      <w:tr w:rsidR="00E82487" w:rsidRPr="001B5FE8" w14:paraId="24A7B469" w14:textId="77777777" w:rsidTr="009302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shd w:val="clear" w:color="auto" w:fill="1F3864" w:themeFill="accent1" w:themeFillShade="80"/>
          </w:tcPr>
          <w:p w14:paraId="7E832CA6" w14:textId="500DF2B1" w:rsidR="00E82487" w:rsidRPr="001B5FE8" w:rsidRDefault="00E82487" w:rsidP="001B5FE8">
            <w:pPr>
              <w:spacing w:after="0"/>
              <w:jc w:val="center"/>
              <w:rPr>
                <w:rFonts w:asciiTheme="majorHAnsi" w:hAnsiTheme="majorHAnsi" w:cstheme="majorHAnsi"/>
                <w:color w:val="auto"/>
                <w:sz w:val="22"/>
                <w:szCs w:val="22"/>
              </w:rPr>
            </w:pPr>
            <w:r w:rsidRPr="001B5FE8">
              <w:rPr>
                <w:rFonts w:asciiTheme="majorHAnsi" w:hAnsiTheme="majorHAnsi" w:cstheme="majorHAnsi"/>
                <w:color w:val="auto"/>
                <w:sz w:val="22"/>
                <w:szCs w:val="22"/>
              </w:rPr>
              <w:t>Nr. crt.</w:t>
            </w: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shd w:val="clear" w:color="auto" w:fill="1F3864" w:themeFill="accent1" w:themeFillShade="80"/>
          </w:tcPr>
          <w:p w14:paraId="0954DB29" w14:textId="2C7FC9A2" w:rsidR="00E82487" w:rsidRPr="001B5FE8" w:rsidRDefault="00E82487" w:rsidP="001B5FE8">
            <w:pPr>
              <w:spacing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color w:val="auto"/>
                <w:sz w:val="22"/>
                <w:szCs w:val="22"/>
              </w:rPr>
            </w:pPr>
            <w:r w:rsidRPr="001B5FE8">
              <w:rPr>
                <w:rFonts w:asciiTheme="majorHAnsi" w:hAnsiTheme="majorHAnsi" w:cstheme="majorHAnsi"/>
                <w:color w:val="auto"/>
                <w:sz w:val="22"/>
                <w:szCs w:val="22"/>
              </w:rPr>
              <w:t>Criteriu verificare</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shd w:val="clear" w:color="auto" w:fill="1F3864" w:themeFill="accent1" w:themeFillShade="80"/>
          </w:tcPr>
          <w:p w14:paraId="1E4F16C9" w14:textId="05311E19" w:rsidR="00E82487" w:rsidRPr="001B5FE8" w:rsidRDefault="00E82487" w:rsidP="001B5FE8">
            <w:pPr>
              <w:spacing w:after="0"/>
              <w:jc w:val="center"/>
              <w:cnfStyle w:val="100000000000" w:firstRow="1" w:lastRow="0" w:firstColumn="0" w:lastColumn="0" w:oddVBand="0" w:evenVBand="0" w:oddHBand="0" w:evenHBand="0" w:firstRowFirstColumn="0" w:firstRowLastColumn="0" w:lastRowFirstColumn="0" w:lastRowLastColumn="0"/>
              <w:rPr>
                <w:rFonts w:asciiTheme="majorHAnsi" w:eastAsia="Calibri" w:hAnsiTheme="majorHAnsi" w:cstheme="majorHAnsi"/>
                <w:color w:val="auto"/>
                <w:sz w:val="22"/>
                <w:szCs w:val="22"/>
              </w:rPr>
            </w:pPr>
            <w:r w:rsidRPr="001B5FE8">
              <w:rPr>
                <w:rFonts w:asciiTheme="majorHAnsi" w:hAnsiTheme="majorHAnsi" w:cstheme="majorHAnsi"/>
                <w:color w:val="auto"/>
                <w:sz w:val="22"/>
                <w:szCs w:val="22"/>
              </w:rPr>
              <w:t>Da/Nu/Nu este cazul</w:t>
            </w: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shd w:val="clear" w:color="auto" w:fill="1F3864" w:themeFill="accent1" w:themeFillShade="80"/>
          </w:tcPr>
          <w:p w14:paraId="7091CE64" w14:textId="1366CF67" w:rsidR="00E82487" w:rsidRPr="001B5FE8" w:rsidRDefault="00E82487" w:rsidP="001B5FE8">
            <w:pPr>
              <w:spacing w:after="0"/>
              <w:jc w:val="center"/>
              <w:cnfStyle w:val="100000000000" w:firstRow="1" w:lastRow="0" w:firstColumn="0" w:lastColumn="0" w:oddVBand="0" w:evenVBand="0" w:oddHBand="0" w:evenHBand="0" w:firstRowFirstColumn="0" w:firstRowLastColumn="0" w:lastRowFirstColumn="0" w:lastRowLastColumn="0"/>
              <w:rPr>
                <w:rFonts w:asciiTheme="majorHAnsi" w:eastAsiaTheme="minorHAnsi" w:hAnsiTheme="majorHAnsi" w:cstheme="majorHAnsi"/>
                <w:color w:val="auto"/>
                <w:sz w:val="22"/>
                <w:szCs w:val="22"/>
              </w:rPr>
            </w:pPr>
            <w:r w:rsidRPr="001B5FE8">
              <w:rPr>
                <w:rFonts w:asciiTheme="majorHAnsi" w:hAnsiTheme="majorHAnsi" w:cstheme="majorHAnsi"/>
                <w:color w:val="auto"/>
                <w:sz w:val="22"/>
                <w:szCs w:val="22"/>
              </w:rPr>
              <w:t>Observații</w:t>
            </w:r>
          </w:p>
        </w:tc>
      </w:tr>
      <w:tr w:rsidR="00E82487" w:rsidRPr="001B5FE8" w14:paraId="0AE4BCB5" w14:textId="77777777" w:rsidTr="00A24B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52" w:type="dxa"/>
            <w:gridSpan w:val="4"/>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DA34040" w14:textId="1E09A91D" w:rsidR="005E49FF" w:rsidRPr="001B5FE8" w:rsidRDefault="00E82487" w:rsidP="001B5FE8">
            <w:pPr>
              <w:spacing w:after="0"/>
              <w:jc w:val="both"/>
              <w:rPr>
                <w:rFonts w:asciiTheme="majorHAnsi" w:hAnsiTheme="majorHAnsi" w:cstheme="majorHAnsi"/>
                <w:b w:val="0"/>
                <w:color w:val="auto"/>
                <w:sz w:val="22"/>
                <w:szCs w:val="22"/>
              </w:rPr>
            </w:pPr>
            <w:r w:rsidRPr="001B5FE8">
              <w:rPr>
                <w:rFonts w:asciiTheme="majorHAnsi" w:hAnsiTheme="majorHAnsi" w:cstheme="majorHAnsi"/>
                <w:bCs w:val="0"/>
                <w:color w:val="auto"/>
                <w:sz w:val="22"/>
                <w:szCs w:val="22"/>
              </w:rPr>
              <w:t>I. Existența și conformitatea documentelor obligatorii solicitate pentru etapa de contractare</w:t>
            </w:r>
          </w:p>
        </w:tc>
      </w:tr>
      <w:tr w:rsidR="00F86DA5" w:rsidRPr="001B5FE8" w14:paraId="1710CD77" w14:textId="77777777" w:rsidTr="009302AC">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E0A1ACF" w14:textId="77777777" w:rsidR="001F0868" w:rsidRPr="001B5FE8" w:rsidRDefault="001F0868"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4B343ED" w14:textId="75F000BD" w:rsidR="001F0868" w:rsidRPr="001B5FE8" w:rsidRDefault="00142258"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2"/>
                <w:szCs w:val="22"/>
              </w:rPr>
            </w:pPr>
            <w:r w:rsidRPr="001B5FE8">
              <w:rPr>
                <w:rFonts w:asciiTheme="majorHAnsi" w:hAnsiTheme="majorHAnsi" w:cstheme="majorHAnsi"/>
                <w:color w:val="auto"/>
                <w:sz w:val="22"/>
                <w:szCs w:val="22"/>
              </w:rPr>
              <w:t>Documentele prevăzute de Codul Civil pentru imobilele unde se vor desfășura activitățile proiectului și/sau localiza echipamentele/dotările propuse a fi achiziționate prin proiect</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C41B4EF" w14:textId="77777777" w:rsidR="001F0868" w:rsidRPr="001B5FE8" w:rsidRDefault="001F0868"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937FF24" w14:textId="1D2B4F61" w:rsidR="00142258" w:rsidRPr="001B5FE8" w:rsidRDefault="00142258"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color w:val="auto"/>
                <w:sz w:val="22"/>
                <w:szCs w:val="22"/>
              </w:rPr>
            </w:pPr>
            <w:r w:rsidRPr="001B5FE8">
              <w:rPr>
                <w:rFonts w:asciiTheme="majorHAnsi" w:hAnsiTheme="majorHAnsi" w:cstheme="majorHAnsi"/>
                <w:bCs/>
                <w:color w:val="auto"/>
                <w:sz w:val="22"/>
                <w:szCs w:val="22"/>
              </w:rPr>
              <w:t>Documentele</w:t>
            </w:r>
            <w:r w:rsidR="00F5636F" w:rsidRPr="001B5FE8">
              <w:rPr>
                <w:rFonts w:asciiTheme="majorHAnsi" w:hAnsiTheme="majorHAnsi" w:cstheme="majorHAnsi"/>
                <w:bCs/>
                <w:color w:val="auto"/>
                <w:sz w:val="22"/>
                <w:szCs w:val="22"/>
              </w:rPr>
              <w:t xml:space="preserve"> </w:t>
            </w:r>
            <w:r w:rsidRPr="001B5FE8">
              <w:rPr>
                <w:rFonts w:asciiTheme="majorHAnsi" w:hAnsiTheme="majorHAnsi" w:cstheme="majorHAnsi"/>
                <w:bCs/>
                <w:color w:val="auto"/>
                <w:sz w:val="22"/>
                <w:szCs w:val="22"/>
              </w:rPr>
              <w:t xml:space="preserve"> respective sunt cele care conform prevederilor legale în vigoare fac dovada dreptului invocat în patrimoniul solicitantului.</w:t>
            </w:r>
          </w:p>
          <w:p w14:paraId="0DBAB208" w14:textId="4D06ACB2" w:rsidR="001F0868" w:rsidRPr="001B5FE8" w:rsidRDefault="00142258"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color w:val="auto"/>
                <w:sz w:val="22"/>
                <w:szCs w:val="22"/>
              </w:rPr>
            </w:pPr>
            <w:r w:rsidRPr="001B5FE8">
              <w:rPr>
                <w:rFonts w:asciiTheme="majorHAnsi" w:hAnsiTheme="majorHAnsi" w:cstheme="majorHAnsi"/>
                <w:bCs/>
                <w:color w:val="auto"/>
                <w:sz w:val="22"/>
                <w:szCs w:val="22"/>
              </w:rPr>
              <w:t>Astfel se va depune</w:t>
            </w:r>
            <w:r w:rsidR="00F5636F" w:rsidRPr="001B5FE8">
              <w:rPr>
                <w:rFonts w:asciiTheme="majorHAnsi" w:hAnsiTheme="majorHAnsi" w:cstheme="majorHAnsi"/>
                <w:bCs/>
                <w:color w:val="auto"/>
                <w:sz w:val="22"/>
                <w:szCs w:val="22"/>
              </w:rPr>
              <w:t xml:space="preserve"> de către lider de parteneriat/partener</w:t>
            </w:r>
            <w:r w:rsidR="00DB78AA" w:rsidRPr="001B5FE8">
              <w:rPr>
                <w:rFonts w:asciiTheme="majorHAnsi" w:hAnsiTheme="majorHAnsi" w:cstheme="majorHAnsi"/>
                <w:bCs/>
                <w:color w:val="auto"/>
                <w:sz w:val="22"/>
                <w:szCs w:val="22"/>
              </w:rPr>
              <w:t>i</w:t>
            </w:r>
            <w:r w:rsidRPr="001B5FE8">
              <w:rPr>
                <w:rFonts w:asciiTheme="majorHAnsi" w:hAnsiTheme="majorHAnsi" w:cstheme="majorHAnsi"/>
                <w:bCs/>
                <w:color w:val="auto"/>
                <w:sz w:val="22"/>
                <w:szCs w:val="22"/>
              </w:rPr>
              <w:t>, după caz:</w:t>
            </w:r>
          </w:p>
          <w:p w14:paraId="64AE1F24" w14:textId="137512C6" w:rsidR="00142258" w:rsidRPr="001B5FE8" w:rsidRDefault="00142258" w:rsidP="001B5FE8">
            <w:pPr>
              <w:pStyle w:val="ListParagraph"/>
              <w:numPr>
                <w:ilvl w:val="0"/>
                <w:numId w:val="2"/>
              </w:num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color w:val="auto"/>
                <w:sz w:val="22"/>
                <w:szCs w:val="22"/>
              </w:rPr>
            </w:pPr>
            <w:r w:rsidRPr="001B5FE8">
              <w:rPr>
                <w:rFonts w:asciiTheme="majorHAnsi" w:hAnsiTheme="majorHAnsi" w:cstheme="majorHAnsi"/>
                <w:bCs/>
                <w:color w:val="auto"/>
                <w:sz w:val="22"/>
                <w:szCs w:val="22"/>
              </w:rPr>
              <w:t xml:space="preserve">oricare dintre actele admise de lege ce atestă dreptul de proprietate și celelalte drepturile reale principale (dreptul de superficie; dreptul de uzufruct; dreptul de uz; dreptul de administrare; dreptul de concesiune; dreptul de </w:t>
            </w:r>
            <w:r w:rsidR="001B5FE8" w:rsidRPr="001B5FE8">
              <w:rPr>
                <w:rFonts w:asciiTheme="majorHAnsi" w:hAnsiTheme="majorHAnsi" w:cstheme="majorHAnsi"/>
                <w:bCs/>
                <w:color w:val="auto"/>
                <w:sz w:val="22"/>
                <w:szCs w:val="22"/>
              </w:rPr>
              <w:t>folosință</w:t>
            </w:r>
            <w:r w:rsidRPr="001B5FE8">
              <w:rPr>
                <w:rFonts w:asciiTheme="majorHAnsi" w:hAnsiTheme="majorHAnsi" w:cstheme="majorHAnsi"/>
                <w:bCs/>
                <w:color w:val="auto"/>
                <w:sz w:val="22"/>
                <w:szCs w:val="22"/>
              </w:rPr>
              <w:t>);</w:t>
            </w:r>
          </w:p>
          <w:p w14:paraId="7FC72CDB" w14:textId="5C5A62E3" w:rsidR="00142258" w:rsidRPr="001B5FE8" w:rsidRDefault="00142258" w:rsidP="001B5FE8">
            <w:pPr>
              <w:pStyle w:val="ListParagraph"/>
              <w:numPr>
                <w:ilvl w:val="0"/>
                <w:numId w:val="2"/>
              </w:num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color w:val="auto"/>
                <w:sz w:val="22"/>
                <w:szCs w:val="22"/>
              </w:rPr>
            </w:pPr>
            <w:r w:rsidRPr="001B5FE8">
              <w:rPr>
                <w:rFonts w:asciiTheme="majorHAnsi" w:hAnsiTheme="majorHAnsi" w:cstheme="majorHAnsi"/>
                <w:bCs/>
                <w:color w:val="auto"/>
                <w:sz w:val="22"/>
                <w:szCs w:val="22"/>
              </w:rPr>
              <w:t>copie act de proprietate /donație/ contract de superficie/ contract de uzufruct/ contract de concesiune/contract de folosință/  pe durata proiectului etc.</w:t>
            </w:r>
          </w:p>
        </w:tc>
      </w:tr>
      <w:tr w:rsidR="00F86DA5" w:rsidRPr="001B5FE8" w14:paraId="05B7FFC6" w14:textId="77777777" w:rsidTr="009302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C8642F0" w14:textId="77777777" w:rsidR="00142258" w:rsidRPr="001B5FE8" w:rsidRDefault="00142258"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5C2C110" w14:textId="2B4542AD" w:rsidR="00142258" w:rsidRPr="001B5FE8" w:rsidRDefault="00142258"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auto"/>
                <w:sz w:val="22"/>
                <w:szCs w:val="22"/>
              </w:rPr>
            </w:pPr>
            <w:r w:rsidRPr="001B5FE8">
              <w:rPr>
                <w:rFonts w:asciiTheme="majorHAnsi" w:hAnsiTheme="majorHAnsi" w:cstheme="majorHAnsi"/>
                <w:color w:val="auto"/>
                <w:sz w:val="22"/>
                <w:szCs w:val="22"/>
              </w:rPr>
              <w:t>Declarațiile pe proprie răspundere și/sau acordul de parteneriat/hotărârea</w:t>
            </w:r>
            <w:r w:rsidR="004E3EBE">
              <w:rPr>
                <w:rFonts w:asciiTheme="majorHAnsi" w:hAnsiTheme="majorHAnsi" w:cstheme="majorHAnsi"/>
                <w:color w:val="auto"/>
                <w:sz w:val="22"/>
                <w:szCs w:val="22"/>
              </w:rPr>
              <w:t>/decizia</w:t>
            </w:r>
            <w:r w:rsidRPr="001B5FE8">
              <w:rPr>
                <w:rFonts w:asciiTheme="majorHAnsi" w:hAnsiTheme="majorHAnsi" w:cstheme="majorHAnsi"/>
                <w:color w:val="auto"/>
                <w:sz w:val="22"/>
                <w:szCs w:val="22"/>
              </w:rPr>
              <w:t xml:space="preserve"> de aprobarea a proiectului și a cheltuielilor  legate de proiect actualizate</w:t>
            </w:r>
            <w:r w:rsidR="00A71644" w:rsidRPr="001B5FE8">
              <w:rPr>
                <w:rFonts w:asciiTheme="majorHAnsi" w:hAnsiTheme="majorHAnsi" w:cstheme="majorHAnsi"/>
                <w:color w:val="auto"/>
                <w:sz w:val="22"/>
                <w:szCs w:val="22"/>
              </w:rPr>
              <w:t>, dacă au suferit modificări față de momentul depunerii cererii de finanțare</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B754E6B" w14:textId="77777777" w:rsidR="00142258" w:rsidRPr="001B5FE8" w:rsidRDefault="00142258"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067B0FE" w14:textId="6A5C5CA7" w:rsidR="00142258" w:rsidRPr="001B5FE8" w:rsidRDefault="00142258"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color w:val="auto"/>
                <w:sz w:val="22"/>
                <w:szCs w:val="22"/>
              </w:rPr>
            </w:pPr>
            <w:r w:rsidRPr="001B5FE8">
              <w:rPr>
                <w:rFonts w:asciiTheme="majorHAnsi" w:eastAsiaTheme="minorHAnsi" w:hAnsiTheme="majorHAnsi" w:cstheme="majorHAnsi"/>
                <w:color w:val="auto"/>
                <w:sz w:val="22"/>
                <w:szCs w:val="22"/>
              </w:rPr>
              <w:t>Se vor verifica declarațiile</w:t>
            </w:r>
            <w:r w:rsidR="00D97A07" w:rsidRPr="001B5FE8">
              <w:rPr>
                <w:rFonts w:asciiTheme="majorHAnsi" w:eastAsiaTheme="minorHAnsi" w:hAnsiTheme="majorHAnsi" w:cstheme="majorHAnsi"/>
                <w:color w:val="auto"/>
                <w:sz w:val="22"/>
                <w:szCs w:val="22"/>
              </w:rPr>
              <w:t xml:space="preserve"> (menținerea condițiilor de la depunere)</w:t>
            </w:r>
            <w:r w:rsidRPr="001B5FE8">
              <w:rPr>
                <w:rFonts w:asciiTheme="majorHAnsi" w:eastAsiaTheme="minorHAnsi" w:hAnsiTheme="majorHAnsi" w:cstheme="majorHAnsi"/>
                <w:color w:val="auto"/>
                <w:sz w:val="22"/>
                <w:szCs w:val="22"/>
              </w:rPr>
              <w:t>, acordul de parteneriat hotărârea</w:t>
            </w:r>
            <w:r w:rsidR="004E3EBE">
              <w:rPr>
                <w:rFonts w:asciiTheme="majorHAnsi" w:eastAsiaTheme="minorHAnsi" w:hAnsiTheme="majorHAnsi" w:cstheme="majorHAnsi"/>
                <w:color w:val="auto"/>
                <w:sz w:val="22"/>
                <w:szCs w:val="22"/>
              </w:rPr>
              <w:t>/decizia</w:t>
            </w:r>
            <w:r w:rsidRPr="001B5FE8">
              <w:rPr>
                <w:rFonts w:asciiTheme="majorHAnsi" w:eastAsiaTheme="minorHAnsi" w:hAnsiTheme="majorHAnsi" w:cstheme="majorHAnsi"/>
                <w:color w:val="auto"/>
                <w:sz w:val="22"/>
                <w:szCs w:val="22"/>
              </w:rPr>
              <w:t xml:space="preserve"> de aprobarea a proiectului și a cheltuielilor  legate de proiect actualizate (după caz).</w:t>
            </w:r>
          </w:p>
          <w:p w14:paraId="0A0717D0" w14:textId="4036933D" w:rsidR="00142258" w:rsidRPr="001B5FE8" w:rsidRDefault="00142258"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color w:val="auto"/>
                <w:sz w:val="22"/>
                <w:szCs w:val="22"/>
              </w:rPr>
            </w:pPr>
            <w:r w:rsidRPr="001B5FE8">
              <w:rPr>
                <w:rFonts w:asciiTheme="majorHAnsi" w:eastAsiaTheme="minorHAnsi" w:hAnsiTheme="majorHAnsi" w:cstheme="majorHAnsi"/>
                <w:color w:val="auto"/>
                <w:sz w:val="22"/>
                <w:szCs w:val="22"/>
              </w:rPr>
              <w:t>Se va verifica faptul că între Hotărârea</w:t>
            </w:r>
            <w:r w:rsidR="004E3EBE">
              <w:rPr>
                <w:rFonts w:asciiTheme="majorHAnsi" w:eastAsiaTheme="minorHAnsi" w:hAnsiTheme="majorHAnsi" w:cstheme="majorHAnsi"/>
                <w:color w:val="auto"/>
                <w:sz w:val="22"/>
                <w:szCs w:val="22"/>
              </w:rPr>
              <w:t>/decizia</w:t>
            </w:r>
            <w:r w:rsidRPr="001B5FE8">
              <w:rPr>
                <w:rFonts w:asciiTheme="majorHAnsi" w:eastAsiaTheme="minorHAnsi" w:hAnsiTheme="majorHAnsi" w:cstheme="majorHAnsi"/>
                <w:color w:val="auto"/>
                <w:sz w:val="22"/>
                <w:szCs w:val="22"/>
              </w:rPr>
              <w:t xml:space="preserve"> de aprobare a proiectului și a cheltuielilor legate de proiect, bugetul proiectului și formularul F1 solicitat în contractare există corelare.</w:t>
            </w:r>
          </w:p>
          <w:p w14:paraId="2E4E1CEA" w14:textId="3AE34274" w:rsidR="00142258" w:rsidRPr="001B5FE8" w:rsidRDefault="00142258"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color w:val="auto"/>
                <w:sz w:val="22"/>
                <w:szCs w:val="22"/>
              </w:rPr>
            </w:pPr>
            <w:r w:rsidRPr="001B5FE8">
              <w:rPr>
                <w:rFonts w:asciiTheme="majorHAnsi" w:eastAsiaTheme="minorHAnsi" w:hAnsiTheme="majorHAnsi" w:cstheme="majorHAnsi"/>
                <w:color w:val="auto"/>
                <w:sz w:val="22"/>
                <w:szCs w:val="22"/>
              </w:rPr>
              <w:lastRenderedPageBreak/>
              <w:t xml:space="preserve">Se va verifica acordul de parteneriat în corelare cu cererea de finanțare, bugetul, </w:t>
            </w:r>
            <w:r w:rsidR="00A71644" w:rsidRPr="001B5FE8">
              <w:rPr>
                <w:rFonts w:asciiTheme="majorHAnsi" w:eastAsiaTheme="minorHAnsi" w:hAnsiTheme="majorHAnsi" w:cstheme="majorHAnsi"/>
                <w:color w:val="auto"/>
                <w:sz w:val="22"/>
                <w:szCs w:val="22"/>
              </w:rPr>
              <w:t>hotărârea</w:t>
            </w:r>
            <w:r w:rsidR="004E3EBE">
              <w:rPr>
                <w:rFonts w:asciiTheme="majorHAnsi" w:eastAsiaTheme="minorHAnsi" w:hAnsiTheme="majorHAnsi" w:cstheme="majorHAnsi"/>
                <w:color w:val="auto"/>
                <w:sz w:val="22"/>
                <w:szCs w:val="22"/>
              </w:rPr>
              <w:t>/decizia</w:t>
            </w:r>
            <w:r w:rsidR="00A71644" w:rsidRPr="001B5FE8">
              <w:rPr>
                <w:rFonts w:asciiTheme="majorHAnsi" w:eastAsiaTheme="minorHAnsi" w:hAnsiTheme="majorHAnsi" w:cstheme="majorHAnsi"/>
                <w:color w:val="auto"/>
                <w:sz w:val="22"/>
                <w:szCs w:val="22"/>
              </w:rPr>
              <w:t xml:space="preserve"> de aprobare a proiectului și cheltuielilor legate de proiect, </w:t>
            </w:r>
            <w:r w:rsidRPr="001B5FE8">
              <w:rPr>
                <w:rFonts w:asciiTheme="majorHAnsi" w:eastAsiaTheme="minorHAnsi" w:hAnsiTheme="majorHAnsi" w:cstheme="majorHAnsi"/>
                <w:color w:val="auto"/>
                <w:sz w:val="22"/>
                <w:szCs w:val="22"/>
              </w:rPr>
              <w:t>alte documente relevante.</w:t>
            </w:r>
          </w:p>
        </w:tc>
      </w:tr>
      <w:tr w:rsidR="00F86DA5" w:rsidRPr="001B5FE8" w14:paraId="5A9E779C" w14:textId="77777777" w:rsidTr="009302AC">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3823E0B" w14:textId="2720C46D" w:rsidR="00E82487" w:rsidRPr="001B5FE8" w:rsidRDefault="00E82487"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6931F4F" w14:textId="5CE39AFB" w:rsidR="00E82487" w:rsidRPr="001B5FE8" w:rsidRDefault="00D40C3F"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color w:val="auto"/>
                <w:sz w:val="22"/>
                <w:szCs w:val="22"/>
              </w:rPr>
            </w:pPr>
            <w:r w:rsidRPr="001B5FE8">
              <w:rPr>
                <w:rFonts w:asciiTheme="majorHAnsi" w:hAnsiTheme="majorHAnsi" w:cstheme="majorHAnsi"/>
                <w:color w:val="auto"/>
                <w:sz w:val="22"/>
                <w:szCs w:val="22"/>
              </w:rPr>
              <w:t>Planul de monitorizare a proiectului</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5250885" w14:textId="77777777" w:rsidR="00E82487" w:rsidRPr="001B5FE8" w:rsidRDefault="00E82487"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8C4A297" w14:textId="5F1C0F0E" w:rsidR="00264CDF" w:rsidRPr="001B5FE8" w:rsidRDefault="005028E8"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color w:val="auto"/>
                <w:sz w:val="22"/>
                <w:szCs w:val="22"/>
              </w:rPr>
            </w:pPr>
            <w:r w:rsidRPr="001B5FE8">
              <w:rPr>
                <w:rFonts w:asciiTheme="majorHAnsi" w:hAnsiTheme="majorHAnsi" w:cstheme="majorHAnsi"/>
                <w:bCs/>
                <w:color w:val="auto"/>
                <w:sz w:val="22"/>
                <w:szCs w:val="22"/>
              </w:rPr>
              <w:t>Se va avea în vedere formatul de plan de monitorizare anexat ghidului solicitantului</w:t>
            </w:r>
            <w:r w:rsidR="00264CDF" w:rsidRPr="001B5FE8">
              <w:rPr>
                <w:rFonts w:asciiTheme="majorHAnsi" w:hAnsiTheme="majorHAnsi" w:cstheme="majorHAnsi"/>
                <w:bCs/>
                <w:color w:val="auto"/>
                <w:sz w:val="22"/>
                <w:szCs w:val="22"/>
              </w:rPr>
              <w:t xml:space="preserve"> </w:t>
            </w:r>
            <w:r w:rsidR="00235A6C" w:rsidRPr="001B5FE8">
              <w:rPr>
                <w:rFonts w:asciiTheme="majorHAnsi" w:hAnsiTheme="majorHAnsi" w:cstheme="majorHAnsi"/>
                <w:bCs/>
                <w:color w:val="auto"/>
                <w:sz w:val="22"/>
                <w:szCs w:val="22"/>
              </w:rPr>
              <w:t>și cerințele din ghid cu privire la acesta</w:t>
            </w:r>
            <w:r w:rsidR="00F5636F" w:rsidRPr="001B5FE8">
              <w:rPr>
                <w:rFonts w:asciiTheme="majorHAnsi" w:hAnsiTheme="majorHAnsi" w:cstheme="majorHAnsi"/>
                <w:bCs/>
                <w:color w:val="auto"/>
                <w:sz w:val="22"/>
                <w:szCs w:val="22"/>
              </w:rPr>
              <w:t>.</w:t>
            </w:r>
          </w:p>
        </w:tc>
      </w:tr>
      <w:tr w:rsidR="00F86DA5" w:rsidRPr="001B5FE8" w14:paraId="5DBD9C58" w14:textId="77777777" w:rsidTr="009302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0C0F124" w14:textId="6DE91F53" w:rsidR="00E82487" w:rsidRPr="001B5FE8" w:rsidRDefault="00E82487"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4EFD97B" w14:textId="57924ECE" w:rsidR="00E82487" w:rsidRPr="001B5FE8" w:rsidRDefault="00D40C3F"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auto"/>
                <w:sz w:val="22"/>
                <w:szCs w:val="22"/>
              </w:rPr>
            </w:pPr>
            <w:r w:rsidRPr="001B5FE8">
              <w:rPr>
                <w:rFonts w:asciiTheme="majorHAnsi" w:hAnsiTheme="majorHAnsi" w:cstheme="majorHAnsi"/>
                <w:color w:val="auto"/>
                <w:sz w:val="22"/>
                <w:szCs w:val="22"/>
              </w:rPr>
              <w:t>Graficul cererilor de prefinanțare/plată/rambursare</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07710A2" w14:textId="4368D01A" w:rsidR="00E82487" w:rsidRPr="001B5FE8" w:rsidRDefault="00E82487" w:rsidP="001B5FE8">
            <w:pPr>
              <w:jc w:val="both"/>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1D183E5" w14:textId="346624ED" w:rsidR="0080297A" w:rsidRPr="001B5FE8" w:rsidRDefault="00D40C3F"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color w:val="auto"/>
                <w:sz w:val="22"/>
                <w:szCs w:val="22"/>
              </w:rPr>
            </w:pPr>
            <w:r w:rsidRPr="001B5FE8">
              <w:rPr>
                <w:rFonts w:asciiTheme="majorHAnsi" w:eastAsiaTheme="minorHAnsi" w:hAnsiTheme="majorHAnsi" w:cstheme="majorHAnsi"/>
                <w:color w:val="auto"/>
                <w:sz w:val="22"/>
                <w:szCs w:val="22"/>
              </w:rPr>
              <w:t xml:space="preserve">Graficul </w:t>
            </w:r>
            <w:r w:rsidR="00235A6C" w:rsidRPr="001B5FE8">
              <w:rPr>
                <w:rFonts w:asciiTheme="majorHAnsi" w:hAnsiTheme="majorHAnsi" w:cstheme="majorHAnsi"/>
                <w:color w:val="auto"/>
                <w:sz w:val="22"/>
                <w:szCs w:val="22"/>
              </w:rPr>
              <w:t>cererilor de prefinanțare/plată/rambursare</w:t>
            </w:r>
            <w:r w:rsidRPr="001B5FE8">
              <w:rPr>
                <w:rFonts w:asciiTheme="majorHAnsi" w:eastAsiaTheme="minorHAnsi" w:hAnsiTheme="majorHAnsi" w:cstheme="majorHAnsi"/>
                <w:color w:val="auto"/>
                <w:sz w:val="22"/>
                <w:szCs w:val="22"/>
              </w:rPr>
              <w:t xml:space="preserve"> conține calendarul estimat pentru transmiterea cererilor respective</w:t>
            </w:r>
            <w:r w:rsidR="00325260" w:rsidRPr="001B5FE8">
              <w:rPr>
                <w:rFonts w:asciiTheme="majorHAnsi" w:eastAsiaTheme="minorHAnsi" w:hAnsiTheme="majorHAnsi" w:cstheme="majorHAnsi"/>
                <w:color w:val="auto"/>
                <w:sz w:val="22"/>
                <w:szCs w:val="22"/>
              </w:rPr>
              <w:t xml:space="preserve">, prin </w:t>
            </w:r>
            <w:r w:rsidRPr="001B5FE8">
              <w:rPr>
                <w:rFonts w:asciiTheme="majorHAnsi" w:eastAsiaTheme="minorHAnsi" w:hAnsiTheme="majorHAnsi" w:cstheme="majorHAnsi"/>
                <w:color w:val="auto"/>
                <w:sz w:val="22"/>
                <w:szCs w:val="22"/>
              </w:rPr>
              <w:t>corelare cu valoarea nerambursabilă solicitată în cadrul proiectului.</w:t>
            </w:r>
          </w:p>
        </w:tc>
      </w:tr>
      <w:tr w:rsidR="00F86DA5" w:rsidRPr="001B5FE8" w14:paraId="4C7C0C5E" w14:textId="77777777" w:rsidTr="009302AC">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E23B6A0" w14:textId="5CAB9127" w:rsidR="00E82487" w:rsidRPr="001B5FE8" w:rsidRDefault="00E82487"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B220871" w14:textId="3911A2CF" w:rsidR="00E82487" w:rsidRPr="001B5FE8" w:rsidRDefault="00157293"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auto"/>
                <w:sz w:val="22"/>
                <w:szCs w:val="22"/>
              </w:rPr>
            </w:pPr>
            <w:r w:rsidRPr="001B5FE8">
              <w:rPr>
                <w:rFonts w:asciiTheme="majorHAnsi" w:eastAsia="Calibri" w:hAnsiTheme="majorHAnsi" w:cstheme="majorHAnsi"/>
                <w:color w:val="auto"/>
                <w:sz w:val="22"/>
                <w:szCs w:val="22"/>
              </w:rPr>
              <w:t xml:space="preserve">Formularul nr. 1 </w:t>
            </w:r>
            <w:r w:rsidR="00DB78AA" w:rsidRPr="001B5FE8">
              <w:rPr>
                <w:rFonts w:asciiTheme="majorHAnsi" w:eastAsia="Calibri" w:hAnsiTheme="majorHAnsi" w:cstheme="majorHAnsi"/>
                <w:color w:val="auto"/>
                <w:sz w:val="22"/>
                <w:szCs w:val="22"/>
              </w:rPr>
              <w:t>–</w:t>
            </w:r>
            <w:r w:rsidRPr="001B5FE8">
              <w:rPr>
                <w:rFonts w:asciiTheme="majorHAnsi" w:eastAsia="Calibri" w:hAnsiTheme="majorHAnsi" w:cstheme="majorHAnsi"/>
                <w:color w:val="auto"/>
                <w:sz w:val="22"/>
                <w:szCs w:val="22"/>
              </w:rPr>
              <w:t xml:space="preserve"> </w:t>
            </w:r>
            <w:r w:rsidR="001B5FE8" w:rsidRPr="001B5FE8">
              <w:rPr>
                <w:rFonts w:asciiTheme="majorHAnsi" w:eastAsia="Calibri" w:hAnsiTheme="majorHAnsi" w:cstheme="majorHAnsi"/>
                <w:color w:val="auto"/>
                <w:sz w:val="22"/>
                <w:szCs w:val="22"/>
              </w:rPr>
              <w:t>Fișa</w:t>
            </w:r>
            <w:r w:rsidRPr="001B5FE8">
              <w:rPr>
                <w:rFonts w:asciiTheme="majorHAnsi" w:eastAsia="Calibri" w:hAnsiTheme="majorHAnsi" w:cstheme="majorHAnsi"/>
                <w:color w:val="auto"/>
                <w:sz w:val="22"/>
                <w:szCs w:val="22"/>
              </w:rPr>
              <w:t xml:space="preserve"> de fundamentare a proiectului propus la </w:t>
            </w:r>
            <w:r w:rsidR="001B5FE8" w:rsidRPr="001B5FE8">
              <w:rPr>
                <w:rFonts w:asciiTheme="majorHAnsi" w:eastAsia="Calibri" w:hAnsiTheme="majorHAnsi" w:cstheme="majorHAnsi"/>
                <w:color w:val="auto"/>
                <w:sz w:val="22"/>
                <w:szCs w:val="22"/>
              </w:rPr>
              <w:t>finanțare</w:t>
            </w:r>
            <w:r w:rsidRPr="001B5FE8">
              <w:rPr>
                <w:rFonts w:asciiTheme="majorHAnsi" w:eastAsia="Calibri" w:hAnsiTheme="majorHAnsi" w:cstheme="majorHAnsi"/>
                <w:color w:val="auto"/>
                <w:sz w:val="22"/>
                <w:szCs w:val="22"/>
              </w:rPr>
              <w:t>/finanţat din fonduri europene</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7EBFA01" w14:textId="6B3D16DF" w:rsidR="00E82487" w:rsidRPr="001B5FE8" w:rsidRDefault="00E82487"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6447CFF" w14:textId="38B4428A" w:rsidR="00E82487" w:rsidRPr="001B5FE8" w:rsidRDefault="00157293"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theme="majorHAnsi"/>
                <w:color w:val="auto"/>
                <w:sz w:val="22"/>
                <w:szCs w:val="22"/>
              </w:rPr>
            </w:pPr>
            <w:r w:rsidRPr="001B5FE8">
              <w:rPr>
                <w:rFonts w:asciiTheme="majorHAnsi" w:eastAsiaTheme="minorHAnsi" w:hAnsiTheme="majorHAnsi" w:cstheme="majorHAnsi"/>
                <w:color w:val="auto"/>
                <w:sz w:val="22"/>
                <w:szCs w:val="22"/>
              </w:rPr>
              <w:t>În etapa de contractare a proiectului</w:t>
            </w:r>
            <w:r w:rsidR="00DB78AA" w:rsidRPr="001B5FE8">
              <w:rPr>
                <w:rFonts w:asciiTheme="majorHAnsi" w:eastAsiaTheme="minorHAnsi" w:hAnsiTheme="majorHAnsi" w:cstheme="majorHAnsi"/>
                <w:color w:val="auto"/>
                <w:sz w:val="22"/>
                <w:szCs w:val="22"/>
              </w:rPr>
              <w:t>,</w:t>
            </w:r>
            <w:r w:rsidR="00CE72D7" w:rsidRPr="001B5FE8">
              <w:rPr>
                <w:rFonts w:asciiTheme="majorHAnsi" w:eastAsiaTheme="minorHAnsi" w:hAnsiTheme="majorHAnsi" w:cstheme="majorHAnsi"/>
                <w:color w:val="auto"/>
                <w:sz w:val="22"/>
                <w:szCs w:val="22"/>
              </w:rPr>
              <w:t xml:space="preserve"> solicitantul va transmite </w:t>
            </w:r>
            <w:r w:rsidRPr="001B5FE8">
              <w:rPr>
                <w:rFonts w:asciiTheme="majorHAnsi" w:eastAsiaTheme="minorHAnsi" w:hAnsiTheme="majorHAnsi" w:cstheme="majorHAnsi"/>
                <w:color w:val="auto"/>
                <w:sz w:val="22"/>
                <w:szCs w:val="22"/>
              </w:rPr>
              <w:t xml:space="preserve">Formularul nr. 1 - </w:t>
            </w:r>
            <w:r w:rsidR="001B5FE8" w:rsidRPr="001B5FE8">
              <w:rPr>
                <w:rFonts w:asciiTheme="majorHAnsi" w:eastAsiaTheme="minorHAnsi" w:hAnsiTheme="majorHAnsi" w:cstheme="majorHAnsi"/>
                <w:color w:val="auto"/>
                <w:sz w:val="22"/>
                <w:szCs w:val="22"/>
              </w:rPr>
              <w:t>Fișa</w:t>
            </w:r>
            <w:r w:rsidRPr="001B5FE8">
              <w:rPr>
                <w:rFonts w:asciiTheme="majorHAnsi" w:eastAsiaTheme="minorHAnsi" w:hAnsiTheme="majorHAnsi" w:cstheme="majorHAnsi"/>
                <w:color w:val="auto"/>
                <w:sz w:val="22"/>
                <w:szCs w:val="22"/>
              </w:rPr>
              <w:t xml:space="preserve"> de fundamentare a proiectului propus la finanţare/</w:t>
            </w:r>
            <w:r w:rsidR="001B5FE8" w:rsidRPr="001B5FE8">
              <w:rPr>
                <w:rFonts w:asciiTheme="majorHAnsi" w:eastAsiaTheme="minorHAnsi" w:hAnsiTheme="majorHAnsi" w:cstheme="majorHAnsi"/>
                <w:color w:val="auto"/>
                <w:sz w:val="22"/>
                <w:szCs w:val="22"/>
              </w:rPr>
              <w:t>finanțat</w:t>
            </w:r>
            <w:r w:rsidRPr="001B5FE8">
              <w:rPr>
                <w:rFonts w:asciiTheme="majorHAnsi" w:eastAsiaTheme="minorHAnsi" w:hAnsiTheme="majorHAnsi" w:cstheme="majorHAnsi"/>
                <w:color w:val="auto"/>
                <w:sz w:val="22"/>
                <w:szCs w:val="22"/>
              </w:rPr>
              <w:t xml:space="preserve"> din fonduri europene</w:t>
            </w:r>
            <w:r w:rsidR="00CE72D7" w:rsidRPr="001B5FE8">
              <w:rPr>
                <w:rFonts w:asciiTheme="majorHAnsi" w:eastAsiaTheme="minorHAnsi" w:hAnsiTheme="majorHAnsi" w:cstheme="majorHAnsi"/>
                <w:color w:val="auto"/>
                <w:sz w:val="22"/>
                <w:szCs w:val="22"/>
              </w:rPr>
              <w:t>,</w:t>
            </w:r>
            <w:r w:rsidRPr="001B5FE8">
              <w:rPr>
                <w:rFonts w:asciiTheme="majorHAnsi" w:eastAsiaTheme="minorHAnsi" w:hAnsiTheme="majorHAnsi" w:cstheme="majorHAnsi"/>
                <w:color w:val="auto"/>
                <w:sz w:val="22"/>
                <w:szCs w:val="22"/>
              </w:rPr>
              <w:t xml:space="preserve"> prevăzut de HG nr. 829/2022.</w:t>
            </w:r>
            <w:r w:rsidR="00CE72D7" w:rsidRPr="001B5FE8">
              <w:rPr>
                <w:rFonts w:asciiTheme="majorHAnsi" w:eastAsiaTheme="minorHAnsi" w:hAnsiTheme="majorHAnsi" w:cstheme="majorHAnsi"/>
                <w:color w:val="auto"/>
                <w:sz w:val="22"/>
                <w:szCs w:val="22"/>
              </w:rPr>
              <w:t xml:space="preserve"> Sumele din formular vor fi corespondente celor din bugetul aprobat al proiectului</w:t>
            </w:r>
            <w:r w:rsidR="00201667" w:rsidRPr="001B5FE8">
              <w:rPr>
                <w:rFonts w:asciiTheme="majorHAnsi" w:eastAsiaTheme="minorHAnsi" w:hAnsiTheme="majorHAnsi" w:cstheme="majorHAnsi"/>
                <w:color w:val="auto"/>
                <w:sz w:val="22"/>
                <w:szCs w:val="22"/>
              </w:rPr>
              <w:t>, cu încadrare în</w:t>
            </w:r>
            <w:r w:rsidR="0080297A" w:rsidRPr="001B5FE8">
              <w:rPr>
                <w:rFonts w:asciiTheme="majorHAnsi" w:eastAsiaTheme="minorHAnsi" w:hAnsiTheme="majorHAnsi" w:cstheme="majorHAnsi"/>
                <w:color w:val="auto"/>
                <w:sz w:val="22"/>
                <w:szCs w:val="22"/>
              </w:rPr>
              <w:t xml:space="preserve"> valoarea nerambursabilă solicitată în cadrul proiectului</w:t>
            </w:r>
            <w:r w:rsidR="00CE72D7" w:rsidRPr="001B5FE8">
              <w:rPr>
                <w:rFonts w:asciiTheme="majorHAnsi" w:eastAsiaTheme="minorHAnsi" w:hAnsiTheme="majorHAnsi" w:cstheme="majorHAnsi"/>
                <w:color w:val="auto"/>
                <w:sz w:val="22"/>
                <w:szCs w:val="22"/>
              </w:rPr>
              <w:t>.</w:t>
            </w:r>
          </w:p>
        </w:tc>
      </w:tr>
      <w:tr w:rsidR="00F86DA5" w:rsidRPr="001B5FE8" w14:paraId="69E2E888" w14:textId="77777777" w:rsidTr="009302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C5282FA" w14:textId="561EFDB4" w:rsidR="00572CF3" w:rsidRPr="001B5FE8" w:rsidRDefault="00572CF3"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477554F" w14:textId="50DC7EBB" w:rsidR="00572CF3" w:rsidRPr="001B5FE8" w:rsidRDefault="00572CF3"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Documente statutare</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110A327" w14:textId="77777777" w:rsidR="00572CF3" w:rsidRPr="001B5FE8" w:rsidRDefault="00572CF3"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i/>
                <w:iCs/>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DF4730C" w14:textId="5B3011C9" w:rsidR="00572CF3" w:rsidRPr="001B5FE8" w:rsidRDefault="00572CF3"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auto"/>
                <w:sz w:val="22"/>
                <w:szCs w:val="22"/>
              </w:rPr>
            </w:pPr>
            <w:r w:rsidRPr="001B5FE8">
              <w:rPr>
                <w:rFonts w:asciiTheme="majorHAnsi" w:eastAsiaTheme="minorHAnsi" w:hAnsiTheme="majorHAnsi" w:cstheme="majorHAnsi"/>
                <w:color w:val="auto"/>
                <w:sz w:val="22"/>
                <w:szCs w:val="22"/>
              </w:rPr>
              <w:t>Se verifică documentele statutare din perspectiva eligibilității solicitantului</w:t>
            </w:r>
            <w:r w:rsidR="00D97A07" w:rsidRPr="001B5FE8">
              <w:rPr>
                <w:rFonts w:asciiTheme="majorHAnsi" w:eastAsiaTheme="minorHAnsi" w:hAnsiTheme="majorHAnsi" w:cstheme="majorHAnsi"/>
                <w:color w:val="auto"/>
                <w:sz w:val="22"/>
                <w:szCs w:val="22"/>
              </w:rPr>
              <w:t>/lider de parteneriat și a partener</w:t>
            </w:r>
            <w:r w:rsidR="00DF27CB" w:rsidRPr="001B5FE8">
              <w:rPr>
                <w:rFonts w:asciiTheme="majorHAnsi" w:eastAsiaTheme="minorHAnsi" w:hAnsiTheme="majorHAnsi" w:cstheme="majorHAnsi"/>
                <w:color w:val="auto"/>
                <w:sz w:val="22"/>
                <w:szCs w:val="22"/>
              </w:rPr>
              <w:t>ilor</w:t>
            </w:r>
            <w:r w:rsidRPr="001B5FE8">
              <w:rPr>
                <w:rFonts w:asciiTheme="majorHAnsi" w:eastAsiaTheme="minorHAnsi" w:hAnsiTheme="majorHAnsi" w:cstheme="majorHAnsi"/>
                <w:color w:val="auto"/>
                <w:sz w:val="22"/>
                <w:szCs w:val="22"/>
              </w:rPr>
              <w:t>.</w:t>
            </w:r>
          </w:p>
          <w:p w14:paraId="764FAE69" w14:textId="4ACC1FF9" w:rsidR="00572CF3" w:rsidRPr="001B5FE8" w:rsidRDefault="00572CF3"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color w:val="auto"/>
                <w:sz w:val="22"/>
                <w:szCs w:val="22"/>
              </w:rPr>
            </w:pPr>
            <w:r w:rsidRPr="001B5FE8">
              <w:rPr>
                <w:rFonts w:asciiTheme="majorHAnsi" w:eastAsiaTheme="minorHAnsi" w:hAnsiTheme="majorHAnsi" w:cstheme="majorHAnsi"/>
                <w:color w:val="auto"/>
                <w:sz w:val="22"/>
                <w:szCs w:val="22"/>
              </w:rPr>
              <w:t xml:space="preserve">Documentele statutare trebuie să fie în formă consolidată, în sensul în care cuprind toate modificările efectuate de la înființarea solicitantului și până la </w:t>
            </w:r>
            <w:r w:rsidR="001F023D" w:rsidRPr="001B5FE8">
              <w:rPr>
                <w:rFonts w:asciiTheme="majorHAnsi" w:eastAsiaTheme="minorHAnsi" w:hAnsiTheme="majorHAnsi" w:cstheme="majorHAnsi"/>
                <w:color w:val="auto"/>
                <w:sz w:val="22"/>
                <w:szCs w:val="22"/>
              </w:rPr>
              <w:t>momentul transmiterii în etapa de contractare</w:t>
            </w:r>
            <w:r w:rsidRPr="001B5FE8">
              <w:rPr>
                <w:rFonts w:asciiTheme="majorHAnsi" w:eastAsiaTheme="minorHAnsi" w:hAnsiTheme="majorHAnsi" w:cstheme="majorHAnsi"/>
                <w:color w:val="auto"/>
                <w:sz w:val="22"/>
                <w:szCs w:val="22"/>
              </w:rPr>
              <w:t>.</w:t>
            </w:r>
          </w:p>
        </w:tc>
      </w:tr>
      <w:tr w:rsidR="00F86DA5" w:rsidRPr="001B5FE8" w14:paraId="716660C2" w14:textId="77777777" w:rsidTr="009302AC">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A709FE8" w14:textId="76FFACE2" w:rsidR="00584002" w:rsidRPr="001B5FE8" w:rsidRDefault="00584002"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DB37EB8" w14:textId="3B792B0A" w:rsidR="00584002" w:rsidRPr="001B5FE8" w:rsidRDefault="00584002"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Actul de împuternicire pentru semnare contract de finanțare, dacă este cazul</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A1120D9" w14:textId="77777777" w:rsidR="00584002" w:rsidRPr="001B5FE8" w:rsidRDefault="00584002"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5DB194C" w14:textId="3CD239D5" w:rsidR="00584002" w:rsidRPr="001B5FE8" w:rsidRDefault="00584002"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theme="majorHAnsi"/>
                <w:color w:val="auto"/>
                <w:sz w:val="22"/>
                <w:szCs w:val="22"/>
              </w:rPr>
            </w:pPr>
            <w:r w:rsidRPr="001B5FE8">
              <w:rPr>
                <w:rFonts w:asciiTheme="majorHAnsi" w:eastAsiaTheme="minorHAnsi" w:hAnsiTheme="majorHAnsi" w:cstheme="majorHAnsi"/>
                <w:color w:val="auto"/>
                <w:sz w:val="22"/>
                <w:szCs w:val="22"/>
              </w:rPr>
              <w:t>Documentul este obligatoriu doar în cazul împuternicirii pentru semnarea contractului de finanțare</w:t>
            </w:r>
            <w:r w:rsidR="0078136C">
              <w:rPr>
                <w:rFonts w:asciiTheme="majorHAnsi" w:eastAsiaTheme="minorHAnsi" w:hAnsiTheme="majorHAnsi" w:cstheme="majorHAnsi"/>
                <w:color w:val="auto"/>
                <w:sz w:val="22"/>
                <w:szCs w:val="22"/>
              </w:rPr>
              <w:t xml:space="preserve"> de către solicitant</w:t>
            </w:r>
            <w:r w:rsidRPr="001B5FE8">
              <w:rPr>
                <w:rFonts w:asciiTheme="majorHAnsi" w:eastAsiaTheme="minorHAnsi" w:hAnsiTheme="majorHAnsi" w:cstheme="majorHAnsi"/>
                <w:color w:val="auto"/>
                <w:sz w:val="22"/>
                <w:szCs w:val="22"/>
              </w:rPr>
              <w:t>.</w:t>
            </w:r>
          </w:p>
        </w:tc>
      </w:tr>
      <w:tr w:rsidR="00F86DA5" w:rsidRPr="001B5FE8" w14:paraId="0AB91919" w14:textId="77777777" w:rsidTr="009302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C8233A4" w14:textId="5A29B70A" w:rsidR="00584002" w:rsidRPr="001B5FE8" w:rsidRDefault="00584002"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600B064" w14:textId="7102703D" w:rsidR="00584002" w:rsidRPr="001B5FE8" w:rsidRDefault="00584002"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Alte documente (se vor preciza punctual, după caz)</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C2EC1D8" w14:textId="1889545F" w:rsidR="00584002" w:rsidRPr="001B5FE8" w:rsidRDefault="00584002"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7B4B60F" w14:textId="3B37B627" w:rsidR="005E49FF" w:rsidRPr="001B5FE8" w:rsidRDefault="00584002"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color w:val="auto"/>
                <w:sz w:val="22"/>
                <w:szCs w:val="22"/>
              </w:rPr>
            </w:pPr>
            <w:r w:rsidRPr="001B5FE8">
              <w:rPr>
                <w:rFonts w:asciiTheme="majorHAnsi" w:eastAsiaTheme="minorHAnsi" w:hAnsiTheme="majorHAnsi" w:cstheme="majorHAnsi"/>
                <w:color w:val="auto"/>
                <w:sz w:val="22"/>
                <w:szCs w:val="22"/>
              </w:rPr>
              <w:t>În cazul în care anumite documente își pierd valabilitatea pe parcursul procesului de evaluare, prezintă erori materiale sau necesită modificare</w:t>
            </w:r>
            <w:r w:rsidR="004C2D44" w:rsidRPr="001B5FE8">
              <w:rPr>
                <w:rFonts w:asciiTheme="majorHAnsi" w:eastAsiaTheme="minorHAnsi" w:hAnsiTheme="majorHAnsi" w:cstheme="majorHAnsi"/>
                <w:color w:val="auto"/>
                <w:sz w:val="22"/>
                <w:szCs w:val="22"/>
              </w:rPr>
              <w:t xml:space="preserve">, inclusiv </w:t>
            </w:r>
            <w:r w:rsidRPr="001B5FE8">
              <w:rPr>
                <w:rFonts w:asciiTheme="majorHAnsi" w:eastAsiaTheme="minorHAnsi" w:hAnsiTheme="majorHAnsi" w:cstheme="majorHAnsi"/>
                <w:color w:val="auto"/>
                <w:sz w:val="22"/>
                <w:szCs w:val="22"/>
              </w:rPr>
              <w:t xml:space="preserve">conform recomandărilor din etapa </w:t>
            </w:r>
            <w:r w:rsidRPr="001B5FE8">
              <w:rPr>
                <w:rFonts w:asciiTheme="majorHAnsi" w:eastAsiaTheme="minorHAnsi" w:hAnsiTheme="majorHAnsi" w:cstheme="majorHAnsi"/>
                <w:color w:val="auto"/>
                <w:sz w:val="22"/>
                <w:szCs w:val="22"/>
              </w:rPr>
              <w:lastRenderedPageBreak/>
              <w:t>de evaluare tehnico - financiară, AM PTJ va solicita retransmiterea acestora în etapa de contractare.</w:t>
            </w:r>
          </w:p>
        </w:tc>
      </w:tr>
      <w:tr w:rsidR="00F86DA5" w:rsidRPr="001B5FE8" w14:paraId="64C07787" w14:textId="77777777" w:rsidTr="00A24B4B">
        <w:tc>
          <w:tcPr>
            <w:cnfStyle w:val="001000000000" w:firstRow="0" w:lastRow="0" w:firstColumn="1" w:lastColumn="0" w:oddVBand="0" w:evenVBand="0" w:oddHBand="0" w:evenHBand="0" w:firstRowFirstColumn="0" w:firstRowLastColumn="0" w:lastRowFirstColumn="0" w:lastRowLastColumn="0"/>
            <w:tcW w:w="12952" w:type="dxa"/>
            <w:gridSpan w:val="4"/>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91C7BA6" w14:textId="333EB249" w:rsidR="00182052" w:rsidRPr="001B5FE8" w:rsidRDefault="007610C2" w:rsidP="001B5FE8">
            <w:pPr>
              <w:spacing w:after="0"/>
              <w:jc w:val="both"/>
              <w:rPr>
                <w:rFonts w:asciiTheme="majorHAnsi" w:eastAsiaTheme="minorHAnsi" w:hAnsiTheme="majorHAnsi" w:cstheme="majorHAnsi"/>
                <w:color w:val="auto"/>
                <w:sz w:val="22"/>
                <w:szCs w:val="22"/>
              </w:rPr>
            </w:pPr>
            <w:r w:rsidRPr="001B5FE8">
              <w:rPr>
                <w:rFonts w:asciiTheme="majorHAnsi" w:eastAsiaTheme="minorHAnsi" w:hAnsiTheme="majorHAnsi" w:cstheme="majorHAnsi"/>
                <w:color w:val="auto"/>
                <w:sz w:val="22"/>
                <w:szCs w:val="22"/>
              </w:rPr>
              <w:lastRenderedPageBreak/>
              <w:t xml:space="preserve">II. </w:t>
            </w:r>
            <w:r w:rsidR="00182052" w:rsidRPr="001B5FE8">
              <w:rPr>
                <w:rFonts w:asciiTheme="majorHAnsi" w:eastAsiaTheme="minorHAnsi" w:hAnsiTheme="majorHAnsi" w:cstheme="majorHAnsi"/>
                <w:color w:val="auto"/>
                <w:sz w:val="22"/>
                <w:szCs w:val="22"/>
              </w:rPr>
              <w:t>Respectarea condițiilor de eligibilitate</w:t>
            </w:r>
          </w:p>
        </w:tc>
      </w:tr>
      <w:tr w:rsidR="00F86DA5" w:rsidRPr="001B5FE8" w14:paraId="65A52073" w14:textId="77777777" w:rsidTr="009302AC">
        <w:trPr>
          <w:cnfStyle w:val="000000100000" w:firstRow="0" w:lastRow="0" w:firstColumn="0" w:lastColumn="0" w:oddVBand="0" w:evenVBand="0" w:oddHBand="1" w:evenHBand="0" w:firstRowFirstColumn="0" w:firstRowLastColumn="0" w:lastRowFirstColumn="0" w:lastRowLastColumn="0"/>
          <w:trHeight w:val="2200"/>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28A86D8" w14:textId="34E5440C" w:rsidR="007610C2" w:rsidRPr="001B5FE8" w:rsidRDefault="007610C2"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763D393" w14:textId="7C607B29" w:rsidR="007610C2" w:rsidRPr="001B5FE8" w:rsidRDefault="00A97DB6"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Fiecare membru al parteneriatului  (lider de parteneriat și partener</w:t>
            </w:r>
            <w:r w:rsidR="00DF27CB" w:rsidRPr="001B5FE8">
              <w:rPr>
                <w:rFonts w:asciiTheme="majorHAnsi" w:hAnsiTheme="majorHAnsi" w:cstheme="majorHAnsi"/>
                <w:color w:val="auto"/>
                <w:sz w:val="22"/>
                <w:szCs w:val="22"/>
                <w:lang w:eastAsia="ro-RO"/>
              </w:rPr>
              <w:t>i</w:t>
            </w:r>
            <w:r w:rsidRPr="001B5FE8">
              <w:rPr>
                <w:rFonts w:asciiTheme="majorHAnsi" w:hAnsiTheme="majorHAnsi" w:cstheme="majorHAnsi"/>
                <w:color w:val="auto"/>
                <w:sz w:val="22"/>
                <w:szCs w:val="22"/>
                <w:lang w:eastAsia="ro-RO"/>
              </w:rPr>
              <w:t>) și reprezentantul legal al acestuia nu se află în niciuna din celelalte situații de excludere prevăzute în Declarația unică, începând cu data depunerii cererii de finanțare</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BB896B4" w14:textId="77777777" w:rsidR="007610C2" w:rsidRPr="001B5FE8" w:rsidRDefault="007610C2"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F38AF06" w14:textId="35F6ACF7" w:rsidR="00C5336D" w:rsidRPr="001B5FE8" w:rsidRDefault="007610C2"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color w:val="auto"/>
                <w:sz w:val="22"/>
                <w:szCs w:val="22"/>
              </w:rPr>
            </w:pPr>
            <w:r w:rsidRPr="001B5FE8">
              <w:rPr>
                <w:rFonts w:asciiTheme="majorHAnsi" w:eastAsiaTheme="minorHAnsi" w:hAnsiTheme="majorHAnsi" w:cstheme="majorHAnsi"/>
                <w:color w:val="auto"/>
                <w:sz w:val="22"/>
                <w:szCs w:val="22"/>
              </w:rPr>
              <w:t>Pe lângă situațiile de excludere din Declarația unică se regăsesc și situații de angajament pentru care declarația respectivă și transmiterea cererii de finanțare în M</w:t>
            </w:r>
            <w:r w:rsidR="00264CDF" w:rsidRPr="001B5FE8">
              <w:rPr>
                <w:rFonts w:asciiTheme="majorHAnsi" w:eastAsiaTheme="minorHAnsi" w:hAnsiTheme="majorHAnsi" w:cstheme="majorHAnsi"/>
                <w:color w:val="auto"/>
                <w:sz w:val="22"/>
                <w:szCs w:val="22"/>
              </w:rPr>
              <w:t>y</w:t>
            </w:r>
            <w:r w:rsidRPr="001B5FE8">
              <w:rPr>
                <w:rFonts w:asciiTheme="majorHAnsi" w:eastAsiaTheme="minorHAnsi" w:hAnsiTheme="majorHAnsi" w:cstheme="majorHAnsi"/>
                <w:color w:val="auto"/>
                <w:sz w:val="22"/>
                <w:szCs w:val="22"/>
              </w:rPr>
              <w:t xml:space="preserve">SMIS reprezintă angajamentul ferm al solicitantul pe întregul proces de evaluare, contractare, implementare, durabilitate. </w:t>
            </w:r>
            <w:r w:rsidR="00C5336D" w:rsidRPr="001B5FE8">
              <w:rPr>
                <w:rFonts w:asciiTheme="majorHAnsi" w:eastAsiaTheme="minorHAnsi" w:hAnsiTheme="majorHAnsi" w:cstheme="majorHAnsi"/>
                <w:color w:val="auto"/>
                <w:sz w:val="22"/>
                <w:szCs w:val="22"/>
              </w:rPr>
              <w:t>Se verifică și aceste situații de angajament.</w:t>
            </w:r>
          </w:p>
          <w:p w14:paraId="637A4B3C" w14:textId="20234C3E" w:rsidR="007610C2" w:rsidRPr="001B5FE8" w:rsidRDefault="007610C2"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color w:val="auto"/>
                <w:sz w:val="22"/>
                <w:szCs w:val="22"/>
              </w:rPr>
            </w:pPr>
            <w:r w:rsidRPr="001B5FE8">
              <w:rPr>
                <w:rFonts w:asciiTheme="majorHAnsi" w:eastAsiaTheme="minorHAnsi" w:hAnsiTheme="majorHAnsi" w:cstheme="majorHAnsi"/>
                <w:color w:val="auto"/>
                <w:sz w:val="22"/>
                <w:szCs w:val="22"/>
              </w:rPr>
              <w:t xml:space="preserve">Orice acțiune a </w:t>
            </w:r>
            <w:r w:rsidR="00E91AC8" w:rsidRPr="001B5FE8">
              <w:rPr>
                <w:rFonts w:asciiTheme="majorHAnsi" w:eastAsiaTheme="minorHAnsi" w:hAnsiTheme="majorHAnsi" w:cstheme="majorHAnsi"/>
                <w:color w:val="auto"/>
                <w:sz w:val="22"/>
                <w:szCs w:val="22"/>
              </w:rPr>
              <w:t>liderului de parteneriat și partener</w:t>
            </w:r>
            <w:r w:rsidR="00DB78AA" w:rsidRPr="001B5FE8">
              <w:rPr>
                <w:rFonts w:asciiTheme="majorHAnsi" w:eastAsiaTheme="minorHAnsi" w:hAnsiTheme="majorHAnsi" w:cstheme="majorHAnsi"/>
                <w:color w:val="auto"/>
                <w:sz w:val="22"/>
                <w:szCs w:val="22"/>
              </w:rPr>
              <w:t>ilor</w:t>
            </w:r>
            <w:r w:rsidR="00E91AC8" w:rsidRPr="001B5FE8">
              <w:rPr>
                <w:rFonts w:asciiTheme="majorHAnsi" w:eastAsiaTheme="minorHAnsi" w:hAnsiTheme="majorHAnsi" w:cstheme="majorHAnsi"/>
                <w:color w:val="auto"/>
                <w:sz w:val="22"/>
                <w:szCs w:val="22"/>
              </w:rPr>
              <w:t xml:space="preserve"> </w:t>
            </w:r>
            <w:r w:rsidRPr="001B5FE8">
              <w:rPr>
                <w:rFonts w:asciiTheme="majorHAnsi" w:eastAsiaTheme="minorHAnsi" w:hAnsiTheme="majorHAnsi" w:cstheme="majorHAnsi"/>
                <w:color w:val="auto"/>
                <w:sz w:val="22"/>
                <w:szCs w:val="22"/>
              </w:rPr>
              <w:t>care poate fi interpretată în sensul unui act de administrare/dispoziție care ar putea contraveni celor angajate prin declarația unică poate conduce la respingerea proiectului de la finanțare/rezilierea contractului de finanțare, după caz.</w:t>
            </w:r>
          </w:p>
        </w:tc>
      </w:tr>
      <w:tr w:rsidR="00F86DA5" w:rsidRPr="001B5FE8" w14:paraId="5128E70F" w14:textId="77777777" w:rsidTr="009302AC">
        <w:trPr>
          <w:trHeight w:val="571"/>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7FA8CD9" w14:textId="4B80C42E" w:rsidR="007610C2" w:rsidRPr="001B5FE8" w:rsidRDefault="007610C2"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1FA42D7" w14:textId="01914B6B" w:rsidR="007610C2" w:rsidRPr="001B5FE8" w:rsidRDefault="00905807"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Membrii parteneriatului (lider de parteneriat și partener</w:t>
            </w:r>
            <w:r w:rsidR="00DF27CB" w:rsidRPr="001B5FE8">
              <w:rPr>
                <w:rFonts w:asciiTheme="majorHAnsi" w:hAnsiTheme="majorHAnsi" w:cstheme="majorHAnsi"/>
                <w:color w:val="auto"/>
                <w:sz w:val="22"/>
                <w:szCs w:val="22"/>
                <w:lang w:eastAsia="ro-RO"/>
              </w:rPr>
              <w:t>i</w:t>
            </w:r>
            <w:r w:rsidRPr="001B5FE8">
              <w:rPr>
                <w:rFonts w:asciiTheme="majorHAnsi" w:hAnsiTheme="majorHAnsi" w:cstheme="majorHAnsi"/>
                <w:color w:val="auto"/>
                <w:sz w:val="22"/>
                <w:szCs w:val="22"/>
                <w:lang w:eastAsia="ro-RO"/>
              </w:rPr>
              <w:t>)</w:t>
            </w:r>
            <w:r w:rsidR="007610C2" w:rsidRPr="001B5FE8">
              <w:rPr>
                <w:rFonts w:asciiTheme="majorHAnsi" w:hAnsiTheme="majorHAnsi" w:cstheme="majorHAnsi"/>
                <w:color w:val="auto"/>
                <w:sz w:val="22"/>
                <w:szCs w:val="22"/>
                <w:lang w:eastAsia="ro-RO"/>
              </w:rPr>
              <w:t xml:space="preserve"> </w:t>
            </w:r>
            <w:r w:rsidR="00EE570E" w:rsidRPr="001B5FE8">
              <w:rPr>
                <w:rFonts w:asciiTheme="majorHAnsi" w:hAnsiTheme="majorHAnsi" w:cstheme="majorHAnsi"/>
                <w:color w:val="auto"/>
                <w:sz w:val="22"/>
                <w:szCs w:val="22"/>
                <w:lang w:eastAsia="ro-RO"/>
              </w:rPr>
              <w:t>dispun de</w:t>
            </w:r>
            <w:r w:rsidR="007610C2" w:rsidRPr="001B5FE8">
              <w:rPr>
                <w:rFonts w:asciiTheme="majorHAnsi" w:hAnsiTheme="majorHAnsi" w:cstheme="majorHAnsi"/>
                <w:color w:val="auto"/>
                <w:sz w:val="22"/>
                <w:szCs w:val="22"/>
                <w:lang w:eastAsia="ro-RO"/>
              </w:rPr>
              <w:t xml:space="preserve"> resursele financiare necesare pentru rata de cofinanțare, pentru cheltuielile neeligibile și pentru orice ale cheltuieli necesare implementării optime a proiectului, în condițiile rambursării ulterioare a cheltuielilor eligibile, precum și costurile implicate de asigurarea caracterului durabil al proiectului</w:t>
            </w:r>
            <w:r w:rsidRPr="001B5FE8">
              <w:rPr>
                <w:rFonts w:asciiTheme="majorHAnsi" w:hAnsiTheme="majorHAnsi" w:cstheme="majorHAnsi"/>
                <w:color w:val="auto"/>
                <w:sz w:val="22"/>
                <w:szCs w:val="22"/>
                <w:lang w:eastAsia="ro-RO"/>
              </w:rPr>
              <w:t>, inclusiv costurile de întreținere, operare și mentenanță a echipamentelor</w:t>
            </w:r>
            <w:r w:rsidR="007610C2" w:rsidRPr="001B5FE8">
              <w:rPr>
                <w:rFonts w:asciiTheme="majorHAnsi" w:hAnsiTheme="majorHAnsi" w:cstheme="majorHAnsi"/>
                <w:color w:val="auto"/>
                <w:sz w:val="22"/>
                <w:szCs w:val="22"/>
                <w:lang w:eastAsia="ro-RO"/>
              </w:rPr>
              <w:t>.</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8E2FC10" w14:textId="77777777" w:rsidR="007610C2" w:rsidRPr="001B5FE8" w:rsidRDefault="007610C2"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6ECB000" w14:textId="5F1970CC" w:rsidR="007610C2" w:rsidRPr="001B5FE8" w:rsidRDefault="00EE570E"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theme="majorHAnsi"/>
                <w:color w:val="auto"/>
                <w:sz w:val="22"/>
                <w:szCs w:val="22"/>
              </w:rPr>
            </w:pPr>
            <w:r w:rsidRPr="001B5FE8">
              <w:rPr>
                <w:rFonts w:asciiTheme="majorHAnsi" w:eastAsiaTheme="minorHAnsi" w:hAnsiTheme="majorHAnsi" w:cstheme="majorHAnsi"/>
                <w:color w:val="auto"/>
                <w:sz w:val="22"/>
                <w:szCs w:val="22"/>
              </w:rPr>
              <w:t>Se verifică Hotărârea</w:t>
            </w:r>
            <w:r w:rsidR="004E3EBE">
              <w:rPr>
                <w:rFonts w:asciiTheme="majorHAnsi" w:eastAsiaTheme="minorHAnsi" w:hAnsiTheme="majorHAnsi" w:cstheme="majorHAnsi"/>
                <w:color w:val="auto"/>
                <w:sz w:val="22"/>
                <w:szCs w:val="22"/>
              </w:rPr>
              <w:t>/decizia</w:t>
            </w:r>
            <w:r w:rsidRPr="001B5FE8">
              <w:rPr>
                <w:rFonts w:asciiTheme="majorHAnsi" w:eastAsiaTheme="minorHAnsi" w:hAnsiTheme="majorHAnsi" w:cstheme="majorHAnsi"/>
                <w:color w:val="auto"/>
                <w:sz w:val="22"/>
                <w:szCs w:val="22"/>
              </w:rPr>
              <w:t xml:space="preserve"> de aprobare a proiectului și a cheltuielilor legate de proiect (actualizată la contractare în cazul modificării bugetului proiectului) și Formularul F1.</w:t>
            </w:r>
          </w:p>
        </w:tc>
      </w:tr>
      <w:tr w:rsidR="00244741" w:rsidRPr="001B5FE8" w14:paraId="5176368E" w14:textId="77777777" w:rsidTr="009302AC">
        <w:trPr>
          <w:cnfStyle w:val="000000100000" w:firstRow="0" w:lastRow="0" w:firstColumn="0" w:lastColumn="0" w:oddVBand="0" w:evenVBand="0" w:oddHBand="1" w:evenHBand="0"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19D7565" w14:textId="77777777" w:rsidR="00244741" w:rsidRPr="001B5FE8" w:rsidRDefault="00244741" w:rsidP="001B5FE8">
            <w:pPr>
              <w:pStyle w:val="ListParagraph"/>
              <w:numPr>
                <w:ilvl w:val="0"/>
                <w:numId w:val="3"/>
              </w:numPr>
              <w:spacing w:after="0"/>
              <w:rPr>
                <w:rFonts w:asciiTheme="majorHAnsi" w:hAnsiTheme="majorHAnsi" w:cstheme="majorHAnsi"/>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0AD803B" w14:textId="7B0AFB99" w:rsidR="00244741" w:rsidRPr="001B5FE8" w:rsidRDefault="002556AB"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lang w:eastAsia="ro-RO"/>
              </w:rPr>
            </w:pPr>
            <w:r w:rsidRPr="002556AB">
              <w:rPr>
                <w:rFonts w:asciiTheme="majorHAnsi" w:hAnsiTheme="majorHAnsi" w:cstheme="majorHAnsi"/>
                <w:sz w:val="22"/>
                <w:szCs w:val="22"/>
                <w:lang w:eastAsia="ro-RO"/>
              </w:rPr>
              <w:t>Selecția partenerilor este realizata în conformitate cu prevederile OUG 133/2021.</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B1D176C" w14:textId="77777777" w:rsidR="00244741" w:rsidRPr="001B5FE8" w:rsidRDefault="00244741"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E399C4E" w14:textId="77777777" w:rsidR="002556AB" w:rsidRDefault="002556AB"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sz w:val="22"/>
                <w:szCs w:val="22"/>
              </w:rPr>
            </w:pPr>
            <w:r w:rsidRPr="002556AB">
              <w:rPr>
                <w:rFonts w:asciiTheme="majorHAnsi" w:eastAsiaTheme="minorHAnsi" w:hAnsiTheme="majorHAnsi" w:cstheme="majorHAnsi"/>
                <w:sz w:val="22"/>
                <w:szCs w:val="22"/>
              </w:rPr>
              <w:t xml:space="preserve">Se verifică documentele </w:t>
            </w:r>
            <w:r>
              <w:rPr>
                <w:rFonts w:asciiTheme="majorHAnsi" w:eastAsiaTheme="minorHAnsi" w:hAnsiTheme="majorHAnsi" w:cstheme="majorHAnsi"/>
                <w:sz w:val="22"/>
                <w:szCs w:val="22"/>
              </w:rPr>
              <w:t xml:space="preserve">statutare/ acordul de parteneriat </w:t>
            </w:r>
            <w:r w:rsidRPr="002556AB">
              <w:rPr>
                <w:rFonts w:asciiTheme="majorHAnsi" w:eastAsiaTheme="minorHAnsi" w:hAnsiTheme="majorHAnsi" w:cstheme="majorHAnsi"/>
                <w:sz w:val="22"/>
                <w:szCs w:val="22"/>
              </w:rPr>
              <w:t>care atestă încadrarea în categoriile de solicitanți și parteneri eligibili conform secțiuni</w:t>
            </w:r>
            <w:r>
              <w:rPr>
                <w:rFonts w:asciiTheme="majorHAnsi" w:eastAsiaTheme="minorHAnsi" w:hAnsiTheme="majorHAnsi" w:cstheme="majorHAnsi"/>
                <w:sz w:val="22"/>
                <w:szCs w:val="22"/>
              </w:rPr>
              <w:t xml:space="preserve">lor 5.1.2. și 5.1.3. </w:t>
            </w:r>
            <w:r w:rsidRPr="002556AB">
              <w:rPr>
                <w:rFonts w:asciiTheme="majorHAnsi" w:eastAsiaTheme="minorHAnsi" w:hAnsiTheme="majorHAnsi" w:cstheme="majorHAnsi"/>
                <w:sz w:val="22"/>
                <w:szCs w:val="22"/>
              </w:rPr>
              <w:t>din Ghid</w:t>
            </w:r>
            <w:r>
              <w:rPr>
                <w:rFonts w:asciiTheme="majorHAnsi" w:eastAsiaTheme="minorHAnsi" w:hAnsiTheme="majorHAnsi" w:cstheme="majorHAnsi"/>
                <w:sz w:val="22"/>
                <w:szCs w:val="22"/>
              </w:rPr>
              <w:t xml:space="preserve">ul solicitantului </w:t>
            </w:r>
          </w:p>
          <w:p w14:paraId="661868B8" w14:textId="2441D3E7" w:rsidR="00244741" w:rsidRPr="001B5FE8" w:rsidRDefault="002556AB"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sz w:val="22"/>
                <w:szCs w:val="22"/>
              </w:rPr>
            </w:pPr>
            <w:r>
              <w:rPr>
                <w:rFonts w:asciiTheme="majorHAnsi" w:eastAsiaTheme="minorHAnsi" w:hAnsiTheme="majorHAnsi" w:cstheme="majorHAnsi"/>
                <w:sz w:val="22"/>
                <w:szCs w:val="22"/>
              </w:rPr>
              <w:lastRenderedPageBreak/>
              <w:t xml:space="preserve">În privința partenerilor eligibili se vor verifica informațiile din </w:t>
            </w:r>
            <w:r w:rsidRPr="002556AB">
              <w:rPr>
                <w:rFonts w:asciiTheme="majorHAnsi" w:eastAsiaTheme="minorHAnsi" w:hAnsiTheme="majorHAnsi" w:cstheme="majorHAnsi"/>
                <w:sz w:val="22"/>
                <w:szCs w:val="22"/>
              </w:rPr>
              <w:t>Procedura de selecție a partenerilor (</w:t>
            </w:r>
            <w:r w:rsidR="0078136C">
              <w:rPr>
                <w:rFonts w:asciiTheme="majorHAnsi" w:eastAsiaTheme="minorHAnsi" w:hAnsiTheme="majorHAnsi" w:cstheme="majorHAnsi"/>
                <w:sz w:val="22"/>
                <w:szCs w:val="22"/>
              </w:rPr>
              <w:t>se va prezenta forma disponibilă</w:t>
            </w:r>
            <w:r w:rsidRPr="002556AB">
              <w:rPr>
                <w:rFonts w:asciiTheme="majorHAnsi" w:eastAsiaTheme="minorHAnsi" w:hAnsiTheme="majorHAnsi" w:cstheme="majorHAnsi"/>
                <w:sz w:val="22"/>
                <w:szCs w:val="22"/>
              </w:rPr>
              <w:t>)</w:t>
            </w:r>
            <w:r>
              <w:rPr>
                <w:rFonts w:asciiTheme="majorHAnsi" w:eastAsiaTheme="minorHAnsi" w:hAnsiTheme="majorHAnsi" w:cstheme="majorHAnsi"/>
                <w:sz w:val="22"/>
                <w:szCs w:val="22"/>
              </w:rPr>
              <w:t>.</w:t>
            </w:r>
          </w:p>
        </w:tc>
      </w:tr>
      <w:tr w:rsidR="00F86DA5" w:rsidRPr="001B5FE8" w14:paraId="44071FA8" w14:textId="77777777" w:rsidTr="009302AC">
        <w:trPr>
          <w:trHeight w:val="2200"/>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3EDB8AF" w14:textId="44A153E9" w:rsidR="00F272E5" w:rsidRPr="001B5FE8" w:rsidRDefault="00F272E5"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1D2BA42" w14:textId="1CE0AE90" w:rsidR="00F272E5" w:rsidRPr="001B5FE8" w:rsidRDefault="00795C4D"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Planul de formare profesională aferent proiectului respectă prevederile legislației și este în conformitate cu planuri naționale de formare și metodologii</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C406805" w14:textId="77777777" w:rsidR="00F272E5" w:rsidRPr="001B5FE8" w:rsidRDefault="00F272E5"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C52C965" w14:textId="78E41A26" w:rsidR="00795C4D" w:rsidRPr="001B5FE8" w:rsidRDefault="00795C4D"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theme="majorHAnsi"/>
                <w:color w:val="auto"/>
                <w:sz w:val="22"/>
                <w:szCs w:val="22"/>
              </w:rPr>
            </w:pPr>
            <w:r w:rsidRPr="001B5FE8">
              <w:rPr>
                <w:rFonts w:asciiTheme="majorHAnsi" w:eastAsiaTheme="minorHAnsi" w:hAnsiTheme="majorHAnsi" w:cstheme="majorHAnsi"/>
                <w:color w:val="auto"/>
                <w:sz w:val="22"/>
                <w:szCs w:val="22"/>
              </w:rPr>
              <w:t>Se verifică planul de formare profesională aferent proiectului și faptul că respectă prevederile OUG nr. 108/2022 și că este conform cu:</w:t>
            </w:r>
          </w:p>
          <w:p w14:paraId="7F04E282" w14:textId="77777777" w:rsidR="00795C4D" w:rsidRPr="001B5FE8" w:rsidRDefault="00795C4D"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theme="majorHAnsi"/>
                <w:color w:val="auto"/>
                <w:sz w:val="22"/>
                <w:szCs w:val="22"/>
              </w:rPr>
            </w:pPr>
            <w:r w:rsidRPr="001B5FE8">
              <w:rPr>
                <w:rFonts w:asciiTheme="majorHAnsi" w:eastAsiaTheme="minorHAnsi" w:hAnsiTheme="majorHAnsi" w:cstheme="majorHAnsi"/>
                <w:color w:val="auto"/>
                <w:sz w:val="22"/>
                <w:szCs w:val="22"/>
              </w:rPr>
              <w:t>a) Planul național de formare, întocmit pe baza studiilor de piață efectuate anual de fiecare AJOFM legate de locurile de muncă vacante (anunțate de angajatori) și de specificul domeniilor aflate în creștere economică, stabilite prin Planurile teritoriale de tranziție justă elaborate de fiecare județ (Gorj, Hunedoara, Dolj, Galați, Prahova, Mureș) și menționate în cadrul PTJ;</w:t>
            </w:r>
          </w:p>
          <w:p w14:paraId="145BC8C8" w14:textId="77777777" w:rsidR="00F272E5" w:rsidRPr="001B5FE8" w:rsidRDefault="00795C4D"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theme="majorHAnsi"/>
                <w:color w:val="auto"/>
                <w:sz w:val="22"/>
                <w:szCs w:val="22"/>
              </w:rPr>
            </w:pPr>
            <w:r w:rsidRPr="001B5FE8">
              <w:rPr>
                <w:rFonts w:asciiTheme="majorHAnsi" w:eastAsiaTheme="minorHAnsi" w:hAnsiTheme="majorHAnsi" w:cstheme="majorHAnsi"/>
                <w:color w:val="auto"/>
                <w:sz w:val="22"/>
                <w:szCs w:val="22"/>
              </w:rPr>
              <w:t>b) Metodologia de realizare a unei prognoze pe termen scurt ca principal instrument de fundamentare a planului de formare profesională la nivel județean, aprobate prin Ordinul Președintelui ANOFM nr. 964/14.11.2022.</w:t>
            </w:r>
          </w:p>
          <w:p w14:paraId="45AA25FE" w14:textId="77777777" w:rsidR="00A24EB0" w:rsidRPr="001B5FE8" w:rsidRDefault="00A24EB0"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2"/>
                <w:szCs w:val="22"/>
              </w:rPr>
            </w:pPr>
            <w:r w:rsidRPr="001B5FE8">
              <w:rPr>
                <w:rFonts w:asciiTheme="majorHAnsi" w:eastAsiaTheme="minorHAnsi" w:hAnsiTheme="majorHAnsi" w:cstheme="majorHAnsi"/>
                <w:color w:val="auto"/>
                <w:sz w:val="22"/>
                <w:szCs w:val="22"/>
              </w:rPr>
              <w:t>Se verifică și faptul că p</w:t>
            </w:r>
            <w:r w:rsidRPr="001B5FE8">
              <w:rPr>
                <w:rFonts w:asciiTheme="majorHAnsi" w:hAnsiTheme="majorHAnsi" w:cstheme="majorHAnsi"/>
                <w:color w:val="auto"/>
                <w:sz w:val="22"/>
                <w:szCs w:val="22"/>
              </w:rPr>
              <w:t xml:space="preserve">lanul de formare profesională aferent proiectului prevede în elementele de formare teme specifice, referitoare la unul sau mai multe din cele 6 obiective de mediu, pentru a demonstra aplicarea principiului DNSH („A nu prejudicia în mod semnificativ”), precum și aspecte referitoare la principiile orizontale din </w:t>
            </w:r>
            <w:r w:rsidR="006F53EE" w:rsidRPr="001B5FE8">
              <w:rPr>
                <w:rFonts w:asciiTheme="majorHAnsi" w:hAnsiTheme="majorHAnsi" w:cstheme="majorHAnsi"/>
                <w:color w:val="auto"/>
                <w:sz w:val="22"/>
                <w:szCs w:val="22"/>
              </w:rPr>
              <w:t>ghidul solicitantului</w:t>
            </w:r>
            <w:r w:rsidRPr="001B5FE8">
              <w:rPr>
                <w:rFonts w:asciiTheme="majorHAnsi" w:hAnsiTheme="majorHAnsi" w:cstheme="majorHAnsi"/>
                <w:color w:val="auto"/>
                <w:sz w:val="22"/>
                <w:szCs w:val="22"/>
              </w:rPr>
              <w:t>.</w:t>
            </w:r>
          </w:p>
          <w:p w14:paraId="6DE34CD3" w14:textId="5603CC40" w:rsidR="00A939B1" w:rsidRPr="001B5FE8" w:rsidRDefault="00A939B1"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theme="majorHAnsi"/>
                <w:color w:val="auto"/>
                <w:sz w:val="22"/>
                <w:szCs w:val="22"/>
              </w:rPr>
            </w:pPr>
            <w:r w:rsidRPr="001B5FE8">
              <w:rPr>
                <w:rFonts w:asciiTheme="majorHAnsi" w:hAnsiTheme="majorHAnsi" w:cstheme="majorHAnsi"/>
                <w:color w:val="auto"/>
                <w:sz w:val="22"/>
                <w:szCs w:val="22"/>
              </w:rPr>
              <w:t>Se verifică că planul de formare a fost verificat de ANOFM pentru certificarea respectării cerințelor de mai sus.</w:t>
            </w:r>
            <w:r w:rsidR="00305E4B">
              <w:rPr>
                <w:rFonts w:asciiTheme="majorHAnsi" w:hAnsiTheme="majorHAnsi" w:cstheme="majorHAnsi"/>
                <w:color w:val="auto"/>
                <w:sz w:val="22"/>
                <w:szCs w:val="22"/>
              </w:rPr>
              <w:t xml:space="preserve"> (inclusiv confirmarea scrisă din parte A</w:t>
            </w:r>
            <w:r w:rsidR="004E3EBE">
              <w:rPr>
                <w:rFonts w:asciiTheme="majorHAnsi" w:hAnsiTheme="majorHAnsi" w:cstheme="majorHAnsi"/>
                <w:color w:val="auto"/>
                <w:sz w:val="22"/>
                <w:szCs w:val="22"/>
              </w:rPr>
              <w:t>NO</w:t>
            </w:r>
            <w:r w:rsidR="00305E4B">
              <w:rPr>
                <w:rFonts w:asciiTheme="majorHAnsi" w:hAnsiTheme="majorHAnsi" w:cstheme="majorHAnsi"/>
                <w:color w:val="auto"/>
                <w:sz w:val="22"/>
                <w:szCs w:val="22"/>
              </w:rPr>
              <w:t>FM).</w:t>
            </w:r>
          </w:p>
        </w:tc>
      </w:tr>
      <w:tr w:rsidR="00F86DA5" w:rsidRPr="001B5FE8" w14:paraId="0F214D73" w14:textId="77777777" w:rsidTr="009302AC">
        <w:trPr>
          <w:cnfStyle w:val="000000100000" w:firstRow="0" w:lastRow="0" w:firstColumn="0" w:lastColumn="0" w:oddVBand="0" w:evenVBand="0" w:oddHBand="1" w:evenHBand="0" w:firstRowFirstColumn="0" w:firstRowLastColumn="0" w:lastRowFirstColumn="0" w:lastRowLastColumn="0"/>
          <w:trHeight w:val="1795"/>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8173B82" w14:textId="259296C8" w:rsidR="00A24EB0" w:rsidRPr="001B5FE8" w:rsidRDefault="00A24EB0"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E52D1EE" w14:textId="49735240" w:rsidR="005558F8" w:rsidRPr="001B5FE8" w:rsidRDefault="00DF27CB"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 xml:space="preserve">Proiectul propus prin cererea de </w:t>
            </w:r>
            <w:r w:rsidR="001B5FE8" w:rsidRPr="001B5FE8">
              <w:rPr>
                <w:rFonts w:asciiTheme="majorHAnsi" w:hAnsiTheme="majorHAnsi" w:cstheme="majorHAnsi"/>
                <w:color w:val="auto"/>
                <w:sz w:val="22"/>
                <w:szCs w:val="22"/>
                <w:lang w:eastAsia="ro-RO"/>
              </w:rPr>
              <w:t>finanțare</w:t>
            </w:r>
            <w:r w:rsidRPr="001B5FE8">
              <w:rPr>
                <w:rFonts w:asciiTheme="majorHAnsi" w:hAnsiTheme="majorHAnsi" w:cstheme="majorHAnsi"/>
                <w:color w:val="auto"/>
                <w:sz w:val="22"/>
                <w:szCs w:val="22"/>
                <w:lang w:eastAsia="ro-RO"/>
              </w:rPr>
              <w:t xml:space="preserve"> nu a mai beneficiat de </w:t>
            </w:r>
            <w:r w:rsidR="001B5FE8" w:rsidRPr="001B5FE8">
              <w:rPr>
                <w:rFonts w:asciiTheme="majorHAnsi" w:hAnsiTheme="majorHAnsi" w:cstheme="majorHAnsi"/>
                <w:color w:val="auto"/>
                <w:sz w:val="22"/>
                <w:szCs w:val="22"/>
                <w:lang w:eastAsia="ro-RO"/>
              </w:rPr>
              <w:t>finanțare</w:t>
            </w:r>
            <w:r w:rsidRPr="001B5FE8">
              <w:rPr>
                <w:rFonts w:asciiTheme="majorHAnsi" w:hAnsiTheme="majorHAnsi" w:cstheme="majorHAnsi"/>
                <w:color w:val="auto"/>
                <w:sz w:val="22"/>
                <w:szCs w:val="22"/>
                <w:lang w:eastAsia="ro-RO"/>
              </w:rPr>
              <w:t xml:space="preserve"> publică în ultimii 5 ani înainte de data depunerii cererii de </w:t>
            </w:r>
            <w:r w:rsidR="001B5FE8" w:rsidRPr="001B5FE8">
              <w:rPr>
                <w:rFonts w:asciiTheme="majorHAnsi" w:hAnsiTheme="majorHAnsi" w:cstheme="majorHAnsi"/>
                <w:color w:val="auto"/>
                <w:sz w:val="22"/>
                <w:szCs w:val="22"/>
                <w:lang w:eastAsia="ro-RO"/>
              </w:rPr>
              <w:t>finanțare</w:t>
            </w:r>
            <w:r w:rsidRPr="001B5FE8">
              <w:rPr>
                <w:rFonts w:asciiTheme="majorHAnsi" w:hAnsiTheme="majorHAnsi" w:cstheme="majorHAnsi"/>
                <w:color w:val="auto"/>
                <w:sz w:val="22"/>
                <w:szCs w:val="22"/>
                <w:lang w:eastAsia="ro-RO"/>
              </w:rPr>
              <w:t xml:space="preserve">, pentru </w:t>
            </w:r>
            <w:r w:rsidR="001B5FE8" w:rsidRPr="001B5FE8">
              <w:rPr>
                <w:rFonts w:asciiTheme="majorHAnsi" w:hAnsiTheme="majorHAnsi" w:cstheme="majorHAnsi"/>
                <w:color w:val="auto"/>
                <w:sz w:val="22"/>
                <w:szCs w:val="22"/>
                <w:lang w:eastAsia="ro-RO"/>
              </w:rPr>
              <w:t>aceleași</w:t>
            </w:r>
            <w:r w:rsidRPr="001B5FE8">
              <w:rPr>
                <w:rFonts w:asciiTheme="majorHAnsi" w:hAnsiTheme="majorHAnsi" w:cstheme="majorHAnsi"/>
                <w:color w:val="auto"/>
                <w:sz w:val="22"/>
                <w:szCs w:val="22"/>
                <w:lang w:eastAsia="ro-RO"/>
              </w:rPr>
              <w:t xml:space="preserve"> cheltuieli asociate furnizării formării cu privire la procesul de tranziție aceleiași persoane (aceluiași CNP) </w:t>
            </w:r>
            <w:r w:rsidR="001B5FE8" w:rsidRPr="001B5FE8">
              <w:rPr>
                <w:rFonts w:asciiTheme="majorHAnsi" w:hAnsiTheme="majorHAnsi" w:cstheme="majorHAnsi"/>
                <w:color w:val="auto"/>
                <w:sz w:val="22"/>
                <w:szCs w:val="22"/>
                <w:lang w:eastAsia="ro-RO"/>
              </w:rPr>
              <w:t>și</w:t>
            </w:r>
            <w:r w:rsidRPr="001B5FE8">
              <w:rPr>
                <w:rFonts w:asciiTheme="majorHAnsi" w:hAnsiTheme="majorHAnsi" w:cstheme="majorHAnsi"/>
                <w:color w:val="auto"/>
                <w:sz w:val="22"/>
                <w:szCs w:val="22"/>
                <w:lang w:eastAsia="ro-RO"/>
              </w:rPr>
              <w:t xml:space="preserve"> nu beneficiază de fonduri publice din alte surse de </w:t>
            </w:r>
            <w:r w:rsidR="001B5FE8" w:rsidRPr="001B5FE8">
              <w:rPr>
                <w:rFonts w:asciiTheme="majorHAnsi" w:hAnsiTheme="majorHAnsi" w:cstheme="majorHAnsi"/>
                <w:color w:val="auto"/>
                <w:sz w:val="22"/>
                <w:szCs w:val="22"/>
                <w:lang w:eastAsia="ro-RO"/>
              </w:rPr>
              <w:t>finanțare</w:t>
            </w:r>
            <w:r w:rsidRPr="001B5FE8">
              <w:rPr>
                <w:rFonts w:asciiTheme="majorHAnsi" w:hAnsiTheme="majorHAnsi" w:cstheme="majorHAnsi"/>
                <w:color w:val="auto"/>
                <w:sz w:val="22"/>
                <w:szCs w:val="22"/>
                <w:lang w:eastAsia="ro-RO"/>
              </w:rPr>
              <w:t>. În situația în care o astfel de finanțare va fi disponibilă după transmiterea cererii de finanțare sau în timpul implementării proiectului, liderul de parteneriat și partenerii se angajează că va/vor informa de urgență AM PTJ. Cerința se referă la cheltuieli eligibile asociate activităților/serviciilor de formare, urmărite la nivel de CNP, cu condiția ca  activitățile/serviciile de formare pentru acea persoană să fie diferite și să se demonstreze legătura cu procesul de tranziție.</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A4C59ED" w14:textId="77777777" w:rsidR="00A24EB0" w:rsidRPr="001B5FE8" w:rsidRDefault="00A24EB0"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E2290FE" w14:textId="5B6DAAEE" w:rsidR="00A24EB0" w:rsidRPr="001B5FE8" w:rsidRDefault="002556AB"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color w:val="auto"/>
                <w:sz w:val="22"/>
                <w:szCs w:val="22"/>
              </w:rPr>
            </w:pPr>
            <w:r>
              <w:rPr>
                <w:rFonts w:asciiTheme="majorHAnsi" w:eastAsiaTheme="minorHAnsi" w:hAnsiTheme="majorHAnsi" w:cstheme="majorHAnsi"/>
                <w:color w:val="auto"/>
                <w:sz w:val="22"/>
                <w:szCs w:val="22"/>
              </w:rPr>
              <w:t xml:space="preserve">Se verifică </w:t>
            </w:r>
            <w:r w:rsidR="00B00AB8">
              <w:rPr>
                <w:rFonts w:asciiTheme="majorHAnsi" w:eastAsiaTheme="minorHAnsi" w:hAnsiTheme="majorHAnsi" w:cstheme="majorHAnsi"/>
                <w:color w:val="auto"/>
                <w:sz w:val="22"/>
                <w:szCs w:val="22"/>
              </w:rPr>
              <w:t xml:space="preserve">Declarația unică – asumarea privind </w:t>
            </w:r>
            <w:r w:rsidR="00B00AB8" w:rsidRPr="00B00AB8">
              <w:rPr>
                <w:rFonts w:asciiTheme="majorHAnsi" w:eastAsiaTheme="minorHAnsi" w:hAnsiTheme="majorHAnsi" w:cstheme="majorHAnsi"/>
                <w:color w:val="auto"/>
                <w:sz w:val="22"/>
                <w:szCs w:val="22"/>
              </w:rPr>
              <w:t>identificarea persoanelor din grupul țintă, la nivelul activităților multi-fond (de exemplu finanțări pentru același tip de activități obținute prin Programul Educație si Ocupare) și  înregistrarea, monitorizarea și raportarea lor distinctă conform regulilor PTJ, în vederea evitării dublei finanțări;</w:t>
            </w:r>
          </w:p>
        </w:tc>
      </w:tr>
      <w:tr w:rsidR="00F86DA5" w:rsidRPr="001B5FE8" w14:paraId="348BF853" w14:textId="77777777" w:rsidTr="009302AC">
        <w:trPr>
          <w:trHeight w:val="1795"/>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1DBFA5A" w14:textId="738DEF20" w:rsidR="007405FF" w:rsidRPr="001B5FE8" w:rsidRDefault="007405FF"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F200EAF" w14:textId="7A1766A1" w:rsidR="007405FF" w:rsidRPr="001B5FE8" w:rsidRDefault="004C1CE2"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Proiectul nu include activități care fac în mod direct obiectul unui aviz motivat al Comisiei cu privire la o încălcare în temeiul art. 258 din TFUE care pune în pericol legalitatea și regularitatea cheltuielilor sau desfășurarea acestuia</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BE02E0E" w14:textId="77777777" w:rsidR="007405FF" w:rsidRPr="001B5FE8" w:rsidRDefault="007405FF"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253D12A" w14:textId="545D2D4C" w:rsidR="007405FF" w:rsidRPr="001B5FE8" w:rsidRDefault="00B00AB8"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theme="majorHAnsi"/>
                <w:color w:val="auto"/>
                <w:sz w:val="22"/>
                <w:szCs w:val="22"/>
              </w:rPr>
            </w:pPr>
            <w:r w:rsidRPr="00B00AB8">
              <w:rPr>
                <w:rFonts w:asciiTheme="majorHAnsi" w:eastAsiaTheme="minorHAnsi" w:hAnsiTheme="majorHAnsi" w:cstheme="majorHAnsi"/>
                <w:color w:val="auto"/>
                <w:sz w:val="22"/>
                <w:szCs w:val="22"/>
              </w:rPr>
              <w:t xml:space="preserve">Se verifică </w:t>
            </w:r>
            <w:r>
              <w:rPr>
                <w:rFonts w:asciiTheme="majorHAnsi" w:eastAsiaTheme="minorHAnsi" w:hAnsiTheme="majorHAnsi" w:cstheme="majorHAnsi"/>
                <w:color w:val="auto"/>
                <w:sz w:val="22"/>
                <w:szCs w:val="22"/>
              </w:rPr>
              <w:t>s</w:t>
            </w:r>
            <w:r w:rsidRPr="00B00AB8">
              <w:rPr>
                <w:rFonts w:asciiTheme="majorHAnsi" w:eastAsiaTheme="minorHAnsi" w:hAnsiTheme="majorHAnsi" w:cstheme="majorHAnsi"/>
                <w:color w:val="auto"/>
                <w:sz w:val="22"/>
                <w:szCs w:val="22"/>
              </w:rPr>
              <w:t>crisoare</w:t>
            </w:r>
            <w:r>
              <w:rPr>
                <w:rFonts w:asciiTheme="majorHAnsi" w:eastAsiaTheme="minorHAnsi" w:hAnsiTheme="majorHAnsi" w:cstheme="majorHAnsi"/>
                <w:color w:val="auto"/>
                <w:sz w:val="22"/>
                <w:szCs w:val="22"/>
              </w:rPr>
              <w:t>a</w:t>
            </w:r>
            <w:r w:rsidRPr="00B00AB8">
              <w:rPr>
                <w:rFonts w:asciiTheme="majorHAnsi" w:eastAsiaTheme="minorHAnsi" w:hAnsiTheme="majorHAnsi" w:cstheme="majorHAnsi"/>
                <w:color w:val="auto"/>
                <w:sz w:val="22"/>
                <w:szCs w:val="22"/>
              </w:rPr>
              <w:t xml:space="preserve"> de la Ministerul Muncii, Familiei, Tineretului și Solidarității Sociale cu privire la faptul că Proiectul nu include activități care fac în mod direct obiectul unui aviz motivat al Comisiei cu privire la o încălcare în temeiul art. 258 din TFUE care pune în pericol legalitatea și regularitatea cheltuielilor sau desfășurarea acestuia</w:t>
            </w:r>
          </w:p>
        </w:tc>
      </w:tr>
      <w:tr w:rsidR="00F86DA5" w:rsidRPr="001B5FE8" w14:paraId="2857B4A4" w14:textId="77777777" w:rsidTr="009302AC">
        <w:trPr>
          <w:cnfStyle w:val="000000100000" w:firstRow="0" w:lastRow="0" w:firstColumn="0" w:lastColumn="0" w:oddVBand="0" w:evenVBand="0" w:oddHBand="1" w:evenHBand="0" w:firstRowFirstColumn="0" w:firstRowLastColumn="0" w:lastRowFirstColumn="0" w:lastRowLastColumn="0"/>
          <w:trHeight w:val="1795"/>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F3AB62B" w14:textId="271B9CCE" w:rsidR="00EB14EA" w:rsidRPr="001B5FE8" w:rsidRDefault="00EB14EA"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A6B5573" w14:textId="4B8A1368" w:rsidR="00C71278" w:rsidRPr="001B5FE8" w:rsidRDefault="00C71278"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 xml:space="preserve">Proiectul respectă reglementările naționale și comunitare privind eligibilitatea cheltuielilor, achizițiile publice, informare și publicitate, </w:t>
            </w:r>
            <w:r w:rsidR="007F7E0E" w:rsidRPr="001B5FE8">
              <w:rPr>
                <w:rFonts w:asciiTheme="majorHAnsi" w:hAnsiTheme="majorHAnsi" w:cstheme="majorHAnsi"/>
                <w:color w:val="auto"/>
                <w:sz w:val="22"/>
                <w:szCs w:val="22"/>
                <w:lang w:eastAsia="ro-RO"/>
              </w:rPr>
              <w:t>egalitatea de șanse</w:t>
            </w:r>
            <w:r w:rsidRPr="001B5FE8">
              <w:rPr>
                <w:rFonts w:asciiTheme="majorHAnsi" w:hAnsiTheme="majorHAnsi" w:cstheme="majorHAnsi"/>
                <w:color w:val="auto"/>
                <w:sz w:val="22"/>
                <w:szCs w:val="22"/>
                <w:lang w:eastAsia="ro-RO"/>
              </w:rPr>
              <w:t xml:space="preserve">, </w:t>
            </w:r>
            <w:r w:rsidR="007F7E0E" w:rsidRPr="001B5FE8">
              <w:rPr>
                <w:rFonts w:asciiTheme="majorHAnsi" w:hAnsiTheme="majorHAnsi" w:cstheme="majorHAnsi"/>
                <w:color w:val="auto"/>
                <w:sz w:val="22"/>
                <w:szCs w:val="22"/>
                <w:lang w:eastAsia="ro-RO"/>
              </w:rPr>
              <w:t xml:space="preserve">prevenirea și combaterea discriminării, dezvoltarea durabilă, </w:t>
            </w:r>
            <w:r w:rsidRPr="001B5FE8">
              <w:rPr>
                <w:rFonts w:asciiTheme="majorHAnsi" w:hAnsiTheme="majorHAnsi" w:cstheme="majorHAnsi"/>
                <w:color w:val="auto"/>
                <w:sz w:val="22"/>
                <w:szCs w:val="22"/>
                <w:lang w:eastAsia="ro-RO"/>
              </w:rPr>
              <w:t>drepturile fundamentale</w:t>
            </w:r>
            <w:r w:rsidR="007F7E0E" w:rsidRPr="001B5FE8">
              <w:rPr>
                <w:rFonts w:asciiTheme="majorHAnsi" w:hAnsiTheme="majorHAnsi" w:cstheme="majorHAnsi"/>
                <w:color w:val="auto"/>
                <w:sz w:val="22"/>
                <w:szCs w:val="22"/>
                <w:lang w:eastAsia="ro-RO"/>
              </w:rPr>
              <w:t xml:space="preserve"> ale omului (așa cum sunt definite în Carta drepturilor fundamentale a Uniunii Europene)</w:t>
            </w:r>
            <w:r w:rsidR="00AF7A2C" w:rsidRPr="001B5FE8">
              <w:rPr>
                <w:rFonts w:asciiTheme="majorHAnsi" w:hAnsiTheme="majorHAnsi" w:cstheme="majorHAnsi"/>
                <w:color w:val="auto"/>
                <w:sz w:val="22"/>
                <w:szCs w:val="22"/>
                <w:lang w:eastAsia="ro-RO"/>
              </w:rPr>
              <w:t>, GDPR</w:t>
            </w:r>
            <w:r w:rsidR="000A70D1" w:rsidRPr="001B5FE8">
              <w:rPr>
                <w:rFonts w:asciiTheme="majorHAnsi" w:hAnsiTheme="majorHAnsi" w:cstheme="majorHAnsi"/>
                <w:color w:val="auto"/>
                <w:sz w:val="22"/>
                <w:szCs w:val="22"/>
                <w:lang w:eastAsia="ro-RO"/>
              </w:rPr>
              <w:t>, alte prevederi legale aplicabile fondurilor europene</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2BA2813" w14:textId="77777777" w:rsidR="00C71278" w:rsidRPr="001B5FE8" w:rsidRDefault="00C71278"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AA007CA" w14:textId="6F631B35" w:rsidR="00C71278" w:rsidRPr="001B5FE8" w:rsidRDefault="00B00AB8"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color w:val="auto"/>
                <w:sz w:val="22"/>
                <w:szCs w:val="22"/>
              </w:rPr>
            </w:pPr>
            <w:r w:rsidRPr="00B00AB8">
              <w:rPr>
                <w:rFonts w:asciiTheme="majorHAnsi" w:eastAsiaTheme="minorHAnsi" w:hAnsiTheme="majorHAnsi" w:cstheme="majorHAnsi"/>
                <w:color w:val="auto"/>
                <w:sz w:val="22"/>
                <w:szCs w:val="22"/>
              </w:rPr>
              <w:t>Se verifică</w:t>
            </w:r>
            <w:r>
              <w:rPr>
                <w:rFonts w:asciiTheme="majorHAnsi" w:eastAsiaTheme="minorHAnsi" w:hAnsiTheme="majorHAnsi" w:cstheme="majorHAnsi"/>
                <w:color w:val="auto"/>
                <w:sz w:val="22"/>
                <w:szCs w:val="22"/>
              </w:rPr>
              <w:t xml:space="preserve"> Declarația unică</w:t>
            </w:r>
            <w:r w:rsidR="0063464F">
              <w:rPr>
                <w:rFonts w:asciiTheme="majorHAnsi" w:eastAsiaTheme="minorHAnsi" w:hAnsiTheme="majorHAnsi" w:cstheme="majorHAnsi"/>
                <w:color w:val="auto"/>
                <w:sz w:val="22"/>
                <w:szCs w:val="22"/>
              </w:rPr>
              <w:t>, Bugetul proiectului, Cererea de finanțare</w:t>
            </w:r>
          </w:p>
        </w:tc>
      </w:tr>
      <w:tr w:rsidR="00F86DA5" w:rsidRPr="001B5FE8" w14:paraId="4182DE27" w14:textId="77777777" w:rsidTr="005558F8">
        <w:trPr>
          <w:trHeight w:val="815"/>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FE380AA" w14:textId="77777777" w:rsidR="000A70D1" w:rsidRPr="001B5FE8" w:rsidRDefault="000A70D1"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5CBF0AB" w14:textId="2A32BFCD" w:rsidR="000A70D1" w:rsidRPr="001B5FE8" w:rsidRDefault="000A70D1"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Proiectul își menține caracterul durabil așa cum este definit la art. 65 din Regulamentul (UE) nr. 1060/2021</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BDCB427" w14:textId="77777777" w:rsidR="000A70D1" w:rsidRPr="001B5FE8" w:rsidRDefault="000A70D1"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CF80274" w14:textId="77777777" w:rsidR="000A70D1" w:rsidRPr="001B5FE8" w:rsidRDefault="000A70D1"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theme="majorHAnsi"/>
                <w:color w:val="auto"/>
                <w:sz w:val="22"/>
                <w:szCs w:val="22"/>
              </w:rPr>
            </w:pPr>
          </w:p>
        </w:tc>
      </w:tr>
      <w:tr w:rsidR="00F86DA5" w:rsidRPr="001B5FE8" w14:paraId="7D066144" w14:textId="77777777" w:rsidTr="009302AC">
        <w:trPr>
          <w:cnfStyle w:val="000000100000" w:firstRow="0" w:lastRow="0" w:firstColumn="0" w:lastColumn="0" w:oddVBand="0" w:evenVBand="0" w:oddHBand="1" w:evenHBand="0" w:firstRowFirstColumn="0" w:firstRowLastColumn="0" w:lastRowFirstColumn="0" w:lastRowLastColumn="0"/>
          <w:trHeight w:val="1291"/>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F14159D" w14:textId="2A57AFFD" w:rsidR="00C71278" w:rsidRPr="001B5FE8" w:rsidRDefault="00C71278"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08DEEC5" w14:textId="4F9EE25D" w:rsidR="00C71278" w:rsidRPr="001B5FE8" w:rsidRDefault="00216A15"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 xml:space="preserve">Proiectul include tipuri de activități eligibile, respectiv activități de bază potrivit Ghidului solicitantului aplicabil, derulate în zonele vizate de apelurile de proiecte, iar activitatea de bază reprezintă minimum </w:t>
            </w:r>
            <w:r w:rsidRPr="00A42D5A">
              <w:rPr>
                <w:rFonts w:asciiTheme="majorHAnsi" w:hAnsiTheme="majorHAnsi" w:cstheme="majorHAnsi"/>
                <w:color w:val="auto"/>
                <w:sz w:val="22"/>
                <w:szCs w:val="22"/>
                <w:lang w:eastAsia="ro-RO"/>
              </w:rPr>
              <w:t xml:space="preserve">93% din bugetul </w:t>
            </w:r>
            <w:r w:rsidRPr="001B5FE8">
              <w:rPr>
                <w:rFonts w:asciiTheme="majorHAnsi" w:hAnsiTheme="majorHAnsi" w:cstheme="majorHAnsi"/>
                <w:color w:val="auto"/>
                <w:sz w:val="22"/>
                <w:szCs w:val="22"/>
                <w:lang w:eastAsia="ro-RO"/>
              </w:rPr>
              <w:t>eligibil al proiectului</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00DC106" w14:textId="77777777" w:rsidR="00C71278" w:rsidRPr="001B5FE8" w:rsidRDefault="00C71278"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AB2EBA1" w14:textId="0656AF72" w:rsidR="00C71278" w:rsidRPr="001B5FE8" w:rsidRDefault="000F1D0C"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color w:val="auto"/>
                <w:sz w:val="22"/>
                <w:szCs w:val="22"/>
              </w:rPr>
            </w:pPr>
            <w:r w:rsidRPr="000F1D0C">
              <w:rPr>
                <w:rFonts w:asciiTheme="majorHAnsi" w:eastAsiaTheme="minorHAnsi" w:hAnsiTheme="majorHAnsi" w:cstheme="majorHAnsi"/>
                <w:color w:val="auto"/>
                <w:sz w:val="22"/>
                <w:szCs w:val="22"/>
              </w:rPr>
              <w:t>Se verifică Secțiunea privind bugetul din Cererea de finanțare și</w:t>
            </w:r>
            <w:r>
              <w:rPr>
                <w:rFonts w:asciiTheme="majorHAnsi" w:eastAsiaTheme="minorHAnsi" w:hAnsiTheme="majorHAnsi" w:cstheme="majorHAnsi"/>
                <w:color w:val="auto"/>
                <w:sz w:val="22"/>
                <w:szCs w:val="22"/>
              </w:rPr>
              <w:t xml:space="preserve"> coerența cu</w:t>
            </w:r>
            <w:r w:rsidRPr="000F1D0C">
              <w:rPr>
                <w:rFonts w:asciiTheme="majorHAnsi" w:eastAsiaTheme="minorHAnsi" w:hAnsiTheme="majorHAnsi" w:cstheme="majorHAnsi"/>
                <w:color w:val="auto"/>
                <w:sz w:val="22"/>
                <w:szCs w:val="22"/>
              </w:rPr>
              <w:t xml:space="preserve"> anexa 2 la GS.</w:t>
            </w:r>
          </w:p>
        </w:tc>
      </w:tr>
      <w:tr w:rsidR="00A72FDF" w:rsidRPr="001B5FE8" w14:paraId="6EC19B7B" w14:textId="77777777" w:rsidTr="009302AC">
        <w:trPr>
          <w:trHeight w:val="1291"/>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60922B9" w14:textId="77777777" w:rsidR="00A72FDF" w:rsidRPr="001B5FE8" w:rsidRDefault="00A72FDF" w:rsidP="001B5FE8">
            <w:pPr>
              <w:pStyle w:val="ListParagraph"/>
              <w:numPr>
                <w:ilvl w:val="0"/>
                <w:numId w:val="3"/>
              </w:numPr>
              <w:spacing w:after="0"/>
              <w:rPr>
                <w:rFonts w:asciiTheme="majorHAnsi" w:hAnsiTheme="majorHAnsi" w:cstheme="majorHAnsi"/>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7860C5D" w14:textId="46320064" w:rsidR="00A72FDF" w:rsidRPr="001B5FE8" w:rsidRDefault="00A72FDF"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eastAsia="ro-RO"/>
              </w:rPr>
            </w:pPr>
            <w:r w:rsidRPr="001B5FE8">
              <w:rPr>
                <w:rFonts w:asciiTheme="majorHAnsi" w:hAnsiTheme="majorHAnsi" w:cstheme="majorHAnsi"/>
                <w:color w:val="000000" w:themeColor="text1"/>
                <w:sz w:val="22"/>
                <w:szCs w:val="22"/>
                <w:lang w:eastAsia="ro-RO"/>
              </w:rPr>
              <w:t>Proiectul aprobat include activități care vizează acțiunile sprijinite în cadrul apelurilor și nu sunt finalizate fizic sau implementate integral înainte de depunerea cererii de finanțare, indiferent dacă au fost efectuate sau nu toate plățile aferente</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C95410C" w14:textId="77777777" w:rsidR="00A72FDF" w:rsidRPr="001B5FE8" w:rsidRDefault="00A72FDF"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4ED4D77" w14:textId="6FC69D71" w:rsidR="00A72FDF" w:rsidRPr="001B5FE8" w:rsidRDefault="00B00AB8"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theme="majorHAnsi"/>
                <w:sz w:val="22"/>
                <w:szCs w:val="22"/>
              </w:rPr>
            </w:pPr>
            <w:r w:rsidRPr="00B00AB8">
              <w:rPr>
                <w:rFonts w:asciiTheme="majorHAnsi" w:eastAsiaTheme="minorHAnsi" w:hAnsiTheme="majorHAnsi" w:cstheme="majorHAnsi"/>
                <w:sz w:val="22"/>
                <w:szCs w:val="22"/>
              </w:rPr>
              <w:t xml:space="preserve">Secțiunile relevante pentru acest criteriu din </w:t>
            </w:r>
            <w:r>
              <w:rPr>
                <w:rFonts w:asciiTheme="majorHAnsi" w:eastAsiaTheme="minorHAnsi" w:hAnsiTheme="majorHAnsi" w:cstheme="majorHAnsi"/>
                <w:sz w:val="22"/>
                <w:szCs w:val="22"/>
              </w:rPr>
              <w:t>C</w:t>
            </w:r>
            <w:r w:rsidRPr="00B00AB8">
              <w:rPr>
                <w:rFonts w:asciiTheme="majorHAnsi" w:eastAsiaTheme="minorHAnsi" w:hAnsiTheme="majorHAnsi" w:cstheme="majorHAnsi"/>
                <w:sz w:val="22"/>
                <w:szCs w:val="22"/>
              </w:rPr>
              <w:t>ererea de finanțare sunt completate cu informațiile in acest sens, iar informațiile sunt corelate cu documentele anexate la cererea de finanțare.</w:t>
            </w:r>
          </w:p>
        </w:tc>
      </w:tr>
      <w:tr w:rsidR="00D80E8A" w:rsidRPr="001B5FE8" w14:paraId="776E40FA" w14:textId="77777777" w:rsidTr="00D80E8A">
        <w:trPr>
          <w:cnfStyle w:val="000000100000" w:firstRow="0" w:lastRow="0" w:firstColumn="0" w:lastColumn="0" w:oddVBand="0" w:evenVBand="0" w:oddHBand="1" w:evenHBand="0" w:firstRowFirstColumn="0" w:firstRowLastColumn="0" w:lastRowFirstColumn="0" w:lastRowLastColumn="0"/>
          <w:trHeight w:val="913"/>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7DC13CB" w14:textId="77777777" w:rsidR="00D80E8A" w:rsidRPr="001B5FE8" w:rsidRDefault="00D80E8A" w:rsidP="001B5FE8">
            <w:pPr>
              <w:pStyle w:val="ListParagraph"/>
              <w:numPr>
                <w:ilvl w:val="0"/>
                <w:numId w:val="3"/>
              </w:numPr>
              <w:spacing w:after="0"/>
              <w:rPr>
                <w:rFonts w:asciiTheme="majorHAnsi" w:hAnsiTheme="majorHAnsi" w:cstheme="majorHAnsi"/>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0F030A3" w14:textId="21FDC865" w:rsidR="00D80E8A" w:rsidRPr="001B5FE8" w:rsidRDefault="00D80E8A"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themeColor="text1"/>
                <w:sz w:val="22"/>
                <w:szCs w:val="22"/>
                <w:lang w:eastAsia="ro-RO"/>
              </w:rPr>
            </w:pPr>
            <w:r w:rsidRPr="001B5FE8">
              <w:rPr>
                <w:rFonts w:asciiTheme="majorHAnsi" w:hAnsiTheme="majorHAnsi" w:cstheme="majorHAnsi"/>
                <w:color w:val="000000" w:themeColor="text1"/>
                <w:sz w:val="22"/>
                <w:szCs w:val="22"/>
                <w:lang w:eastAsia="ro-RO"/>
              </w:rPr>
              <w:t>Proiectul aprobat vizează categorii de grup țintă eligibile și în special categoriile prioritizate din Ghidul solicitantului</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986812F" w14:textId="77777777" w:rsidR="00D80E8A" w:rsidRPr="001B5FE8" w:rsidRDefault="00D80E8A"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816A2BE" w14:textId="46737CB8" w:rsidR="00D80E8A" w:rsidRPr="001B5FE8" w:rsidRDefault="0078136C"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sz w:val="22"/>
                <w:szCs w:val="22"/>
              </w:rPr>
            </w:pPr>
            <w:r w:rsidRPr="0078136C">
              <w:rPr>
                <w:rFonts w:asciiTheme="majorHAnsi" w:eastAsiaTheme="minorHAnsi" w:hAnsiTheme="majorHAnsi" w:cstheme="majorHAnsi"/>
                <w:sz w:val="22"/>
                <w:szCs w:val="22"/>
              </w:rPr>
              <w:t>Secțiunile relevante pentru acest criteriu din Cererea de finanțare sunt completate cu informațiile in acest sens</w:t>
            </w:r>
            <w:r>
              <w:rPr>
                <w:rFonts w:asciiTheme="majorHAnsi" w:eastAsiaTheme="minorHAnsi" w:hAnsiTheme="majorHAnsi" w:cstheme="majorHAnsi"/>
                <w:sz w:val="22"/>
                <w:szCs w:val="22"/>
              </w:rPr>
              <w:t>.</w:t>
            </w:r>
          </w:p>
        </w:tc>
      </w:tr>
      <w:tr w:rsidR="00F86DA5" w:rsidRPr="001B5FE8" w14:paraId="46AF5192" w14:textId="77777777" w:rsidTr="005558F8">
        <w:trPr>
          <w:trHeight w:val="873"/>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95339D5" w14:textId="2A4AF68B" w:rsidR="00760435" w:rsidRPr="001B5FE8" w:rsidRDefault="00760435"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8DE4611" w14:textId="7815EDAF" w:rsidR="00760435" w:rsidRPr="001B5FE8" w:rsidRDefault="00760435"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 xml:space="preserve">Valoarea </w:t>
            </w:r>
            <w:r w:rsidR="000A70D1" w:rsidRPr="001B5FE8">
              <w:rPr>
                <w:rFonts w:asciiTheme="majorHAnsi" w:hAnsiTheme="majorHAnsi" w:cstheme="majorHAnsi"/>
                <w:color w:val="auto"/>
                <w:sz w:val="22"/>
                <w:szCs w:val="22"/>
                <w:lang w:eastAsia="ro-RO"/>
              </w:rPr>
              <w:t>maximă eligibilă</w:t>
            </w:r>
            <w:r w:rsidRPr="001B5FE8">
              <w:rPr>
                <w:rFonts w:asciiTheme="majorHAnsi" w:hAnsiTheme="majorHAnsi" w:cstheme="majorHAnsi"/>
                <w:color w:val="auto"/>
                <w:sz w:val="22"/>
                <w:szCs w:val="22"/>
                <w:lang w:eastAsia="ro-RO"/>
              </w:rPr>
              <w:t xml:space="preserve"> </w:t>
            </w:r>
            <w:r w:rsidR="00063D3E" w:rsidRPr="001B5FE8">
              <w:rPr>
                <w:rFonts w:asciiTheme="majorHAnsi" w:hAnsiTheme="majorHAnsi" w:cstheme="majorHAnsi"/>
                <w:color w:val="auto"/>
                <w:sz w:val="22"/>
                <w:szCs w:val="22"/>
                <w:lang w:eastAsia="ro-RO"/>
              </w:rPr>
              <w:t>a proiectului</w:t>
            </w:r>
            <w:r w:rsidRPr="001B5FE8">
              <w:rPr>
                <w:rFonts w:asciiTheme="majorHAnsi" w:hAnsiTheme="majorHAnsi" w:cstheme="majorHAnsi"/>
                <w:color w:val="auto"/>
                <w:sz w:val="22"/>
                <w:szCs w:val="22"/>
                <w:lang w:eastAsia="ro-RO"/>
              </w:rPr>
              <w:t xml:space="preserve"> se încadrează în alocarea apelului aferentă fiecărei priorități</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232E206" w14:textId="77777777" w:rsidR="00760435" w:rsidRPr="001B5FE8" w:rsidRDefault="00760435"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515F6F1" w14:textId="6E1F1AA5" w:rsidR="00760435" w:rsidRPr="001B5FE8" w:rsidRDefault="00CE09EC"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theme="majorHAnsi"/>
                <w:color w:val="auto"/>
                <w:sz w:val="22"/>
                <w:szCs w:val="22"/>
              </w:rPr>
            </w:pPr>
            <w:r>
              <w:rPr>
                <w:rFonts w:asciiTheme="majorHAnsi" w:eastAsiaTheme="minorHAnsi" w:hAnsiTheme="majorHAnsi" w:cstheme="majorHAnsi"/>
                <w:color w:val="auto"/>
                <w:sz w:val="22"/>
                <w:szCs w:val="22"/>
              </w:rPr>
              <w:t xml:space="preserve">Se verifică </w:t>
            </w:r>
            <w:r w:rsidR="001B21E6" w:rsidRPr="001B21E6">
              <w:rPr>
                <w:rFonts w:asciiTheme="majorHAnsi" w:eastAsiaTheme="minorHAnsi" w:hAnsiTheme="majorHAnsi" w:cstheme="majorHAnsi"/>
                <w:color w:val="auto"/>
                <w:sz w:val="22"/>
                <w:szCs w:val="22"/>
              </w:rPr>
              <w:t xml:space="preserve">Secțiunea privind bugetul din Cererea de finanțare </w:t>
            </w:r>
            <w:r>
              <w:rPr>
                <w:rFonts w:asciiTheme="majorHAnsi" w:eastAsiaTheme="minorHAnsi" w:hAnsiTheme="majorHAnsi" w:cstheme="majorHAnsi"/>
                <w:color w:val="auto"/>
                <w:sz w:val="22"/>
                <w:szCs w:val="22"/>
              </w:rPr>
              <w:t>și</w:t>
            </w:r>
            <w:r w:rsidR="001B21E6">
              <w:rPr>
                <w:rFonts w:asciiTheme="majorHAnsi" w:eastAsiaTheme="minorHAnsi" w:hAnsiTheme="majorHAnsi" w:cstheme="majorHAnsi"/>
                <w:color w:val="auto"/>
                <w:sz w:val="22"/>
                <w:szCs w:val="22"/>
              </w:rPr>
              <w:t xml:space="preserve"> anexa 2 la GS.</w:t>
            </w:r>
          </w:p>
        </w:tc>
      </w:tr>
      <w:tr w:rsidR="00F86DA5" w:rsidRPr="001B5FE8" w14:paraId="6E89F564" w14:textId="77777777" w:rsidTr="009302AC">
        <w:trPr>
          <w:cnfStyle w:val="000000100000" w:firstRow="0" w:lastRow="0" w:firstColumn="0" w:lastColumn="0" w:oddVBand="0" w:evenVBand="0" w:oddHBand="1" w:evenHBand="0" w:firstRowFirstColumn="0" w:firstRowLastColumn="0" w:lastRowFirstColumn="0" w:lastRowLastColumn="0"/>
          <w:trHeight w:val="931"/>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E52D387" w14:textId="1E9B0F6F" w:rsidR="00063D3E" w:rsidRPr="001B5FE8" w:rsidRDefault="00063D3E"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A89BB49" w14:textId="29D9D30F" w:rsidR="00063D3E" w:rsidRPr="001B5FE8" w:rsidRDefault="00063D3E"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Costurile indirecte sunt calculate prin aplicarea unei rate forfetare de 7% din costurile directe eligibile</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0E29FCF" w14:textId="77777777" w:rsidR="00063D3E" w:rsidRPr="001B5FE8" w:rsidRDefault="00063D3E"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1199C32" w14:textId="3286D535" w:rsidR="00063D3E" w:rsidRPr="001B5FE8" w:rsidRDefault="001B21E6"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color w:val="auto"/>
                <w:sz w:val="22"/>
                <w:szCs w:val="22"/>
              </w:rPr>
            </w:pPr>
            <w:r w:rsidRPr="001B21E6">
              <w:rPr>
                <w:rFonts w:asciiTheme="majorHAnsi" w:eastAsiaTheme="minorHAnsi" w:hAnsiTheme="majorHAnsi" w:cstheme="majorHAnsi"/>
                <w:color w:val="auto"/>
                <w:sz w:val="22"/>
                <w:szCs w:val="22"/>
              </w:rPr>
              <w:t xml:space="preserve">Se verifică Secțiunea </w:t>
            </w:r>
            <w:r>
              <w:rPr>
                <w:rFonts w:asciiTheme="majorHAnsi" w:eastAsiaTheme="minorHAnsi" w:hAnsiTheme="majorHAnsi" w:cstheme="majorHAnsi"/>
                <w:color w:val="auto"/>
                <w:sz w:val="22"/>
                <w:szCs w:val="22"/>
              </w:rPr>
              <w:t xml:space="preserve">privind </w:t>
            </w:r>
            <w:r w:rsidRPr="001B21E6">
              <w:rPr>
                <w:rFonts w:asciiTheme="majorHAnsi" w:eastAsiaTheme="minorHAnsi" w:hAnsiTheme="majorHAnsi" w:cstheme="majorHAnsi"/>
                <w:color w:val="auto"/>
                <w:sz w:val="22"/>
                <w:szCs w:val="22"/>
              </w:rPr>
              <w:t>buget</w:t>
            </w:r>
            <w:r>
              <w:rPr>
                <w:rFonts w:asciiTheme="majorHAnsi" w:eastAsiaTheme="minorHAnsi" w:hAnsiTheme="majorHAnsi" w:cstheme="majorHAnsi"/>
                <w:color w:val="auto"/>
                <w:sz w:val="22"/>
                <w:szCs w:val="22"/>
              </w:rPr>
              <w:t>ul</w:t>
            </w:r>
            <w:r w:rsidRPr="001B21E6">
              <w:rPr>
                <w:rFonts w:asciiTheme="majorHAnsi" w:eastAsiaTheme="minorHAnsi" w:hAnsiTheme="majorHAnsi" w:cstheme="majorHAnsi"/>
                <w:color w:val="auto"/>
                <w:sz w:val="22"/>
                <w:szCs w:val="22"/>
              </w:rPr>
              <w:t xml:space="preserve"> din </w:t>
            </w:r>
            <w:r>
              <w:rPr>
                <w:rFonts w:asciiTheme="majorHAnsi" w:eastAsiaTheme="minorHAnsi" w:hAnsiTheme="majorHAnsi" w:cstheme="majorHAnsi"/>
                <w:color w:val="auto"/>
                <w:sz w:val="22"/>
                <w:szCs w:val="22"/>
              </w:rPr>
              <w:t>C</w:t>
            </w:r>
            <w:r w:rsidRPr="001B21E6">
              <w:rPr>
                <w:rFonts w:asciiTheme="majorHAnsi" w:eastAsiaTheme="minorHAnsi" w:hAnsiTheme="majorHAnsi" w:cstheme="majorHAnsi"/>
                <w:color w:val="auto"/>
                <w:sz w:val="22"/>
                <w:szCs w:val="22"/>
              </w:rPr>
              <w:t>ererea de finanțare și anexa 2 la GS</w:t>
            </w:r>
          </w:p>
        </w:tc>
      </w:tr>
      <w:tr w:rsidR="00F86DA5" w:rsidRPr="001B5FE8" w14:paraId="509A7F05" w14:textId="77777777" w:rsidTr="009302AC">
        <w:trPr>
          <w:trHeight w:val="1147"/>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120BB84" w14:textId="6C9C3B05" w:rsidR="001D1397" w:rsidRPr="001B5FE8" w:rsidRDefault="001D1397"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FC67178" w14:textId="340198D7" w:rsidR="001D1397" w:rsidRPr="001B5FE8" w:rsidRDefault="001D1397"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Este asigurat procentul minim de cofinanțare proprie obligatoriu pentru solicitant (2% din totalul cheltuielilor eligibile ale proiectului aprobat)</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AFC037A" w14:textId="77777777" w:rsidR="001D1397" w:rsidRPr="001B5FE8" w:rsidRDefault="001D1397"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11E406E" w14:textId="7128DD52" w:rsidR="001D1397" w:rsidRPr="001B5FE8" w:rsidRDefault="001B21E6"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theme="majorHAnsi"/>
                <w:color w:val="auto"/>
                <w:sz w:val="22"/>
                <w:szCs w:val="22"/>
              </w:rPr>
            </w:pPr>
            <w:r w:rsidRPr="001B21E6">
              <w:rPr>
                <w:rFonts w:asciiTheme="majorHAnsi" w:eastAsiaTheme="minorHAnsi" w:hAnsiTheme="majorHAnsi" w:cstheme="majorHAnsi"/>
                <w:color w:val="auto"/>
                <w:sz w:val="22"/>
                <w:szCs w:val="22"/>
              </w:rPr>
              <w:t>Se verifică Secțiunea privind bugetul din Cererea de finanțare</w:t>
            </w:r>
            <w:r w:rsidR="00A42D5A">
              <w:rPr>
                <w:rFonts w:asciiTheme="majorHAnsi" w:eastAsiaTheme="minorHAnsi" w:hAnsiTheme="majorHAnsi" w:cstheme="majorHAnsi"/>
                <w:color w:val="auto"/>
                <w:sz w:val="22"/>
                <w:szCs w:val="22"/>
              </w:rPr>
              <w:t>,</w:t>
            </w:r>
            <w:r w:rsidRPr="001B21E6">
              <w:rPr>
                <w:rFonts w:asciiTheme="majorHAnsi" w:eastAsiaTheme="minorHAnsi" w:hAnsiTheme="majorHAnsi" w:cstheme="majorHAnsi"/>
                <w:color w:val="auto"/>
                <w:sz w:val="22"/>
                <w:szCs w:val="22"/>
              </w:rPr>
              <w:t xml:space="preserve"> </w:t>
            </w:r>
            <w:r w:rsidR="00A42D5A">
              <w:rPr>
                <w:rFonts w:asciiTheme="majorHAnsi" w:eastAsiaTheme="minorHAnsi" w:hAnsiTheme="majorHAnsi" w:cstheme="majorHAnsi"/>
                <w:color w:val="auto"/>
                <w:sz w:val="22"/>
                <w:szCs w:val="22"/>
              </w:rPr>
              <w:t>acordul de parteneriat</w:t>
            </w:r>
            <w:r w:rsidR="0063464F">
              <w:rPr>
                <w:rFonts w:asciiTheme="majorHAnsi" w:eastAsiaTheme="minorHAnsi" w:hAnsiTheme="majorHAnsi" w:cstheme="majorHAnsi"/>
                <w:color w:val="auto"/>
                <w:sz w:val="22"/>
                <w:szCs w:val="22"/>
              </w:rPr>
              <w:t xml:space="preserve"> și Hotărârea</w:t>
            </w:r>
            <w:r w:rsidR="00A42D5A">
              <w:rPr>
                <w:rFonts w:asciiTheme="majorHAnsi" w:eastAsiaTheme="minorHAnsi" w:hAnsiTheme="majorHAnsi" w:cstheme="majorHAnsi"/>
                <w:color w:val="auto"/>
                <w:sz w:val="22"/>
                <w:szCs w:val="22"/>
              </w:rPr>
              <w:t>/decizia</w:t>
            </w:r>
            <w:r w:rsidR="0063464F">
              <w:rPr>
                <w:rFonts w:asciiTheme="majorHAnsi" w:eastAsiaTheme="minorHAnsi" w:hAnsiTheme="majorHAnsi" w:cstheme="majorHAnsi"/>
                <w:color w:val="auto"/>
                <w:sz w:val="22"/>
                <w:szCs w:val="22"/>
              </w:rPr>
              <w:t xml:space="preserve"> de aprobare a proiectului</w:t>
            </w:r>
          </w:p>
        </w:tc>
      </w:tr>
      <w:tr w:rsidR="00F86DA5" w:rsidRPr="001B5FE8" w14:paraId="348719A0" w14:textId="77777777" w:rsidTr="005558F8">
        <w:trPr>
          <w:cnfStyle w:val="000000100000" w:firstRow="0" w:lastRow="0" w:firstColumn="0" w:lastColumn="0" w:oddVBand="0" w:evenVBand="0" w:oddHBand="1" w:evenHBand="0" w:firstRowFirstColumn="0" w:firstRowLastColumn="0" w:lastRowFirstColumn="0" w:lastRowLastColumn="0"/>
          <w:trHeight w:val="1001"/>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4B21959" w14:textId="3055A0B0" w:rsidR="00503571" w:rsidRPr="001B5FE8" w:rsidRDefault="00503571"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F833AFA" w14:textId="47FF591F" w:rsidR="00503571" w:rsidRPr="001B5FE8" w:rsidRDefault="00503571"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Indicatorii de realizare și de rezultat din proiectul aprobat respectă țintele din ghidul solicitantului</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87A8C3E" w14:textId="77777777" w:rsidR="00503571" w:rsidRPr="001B5FE8" w:rsidRDefault="00503571"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0631771" w14:textId="1CA70329" w:rsidR="00503571" w:rsidRPr="001B5FE8" w:rsidRDefault="00FD3F78"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color w:val="auto"/>
                <w:sz w:val="22"/>
                <w:szCs w:val="22"/>
              </w:rPr>
            </w:pPr>
            <w:r>
              <w:rPr>
                <w:rFonts w:asciiTheme="majorHAnsi" w:eastAsiaTheme="minorHAnsi" w:hAnsiTheme="majorHAnsi" w:cstheme="majorHAnsi"/>
                <w:color w:val="auto"/>
                <w:sz w:val="22"/>
                <w:szCs w:val="22"/>
              </w:rPr>
              <w:t>Se verific</w:t>
            </w:r>
            <w:r w:rsidR="000F1D0C">
              <w:rPr>
                <w:rFonts w:asciiTheme="majorHAnsi" w:eastAsiaTheme="minorHAnsi" w:hAnsiTheme="majorHAnsi" w:cstheme="majorHAnsi"/>
                <w:color w:val="auto"/>
                <w:sz w:val="22"/>
                <w:szCs w:val="22"/>
              </w:rPr>
              <w:t>ă</w:t>
            </w:r>
            <w:r>
              <w:rPr>
                <w:rFonts w:asciiTheme="majorHAnsi" w:eastAsiaTheme="minorHAnsi" w:hAnsiTheme="majorHAnsi" w:cstheme="majorHAnsi"/>
                <w:color w:val="auto"/>
                <w:sz w:val="22"/>
                <w:szCs w:val="22"/>
              </w:rPr>
              <w:t xml:space="preserve"> Secțiunea privind Indicatorii de realizare/ rezultat și coerența cu Secțiunea 3.8 din GS.</w:t>
            </w:r>
          </w:p>
        </w:tc>
      </w:tr>
      <w:tr w:rsidR="00F86DA5" w:rsidRPr="001B5FE8" w14:paraId="7EE3F7A9" w14:textId="77777777" w:rsidTr="005558F8">
        <w:trPr>
          <w:trHeight w:val="562"/>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2F5D7D6" w14:textId="11F6F785" w:rsidR="00760435" w:rsidRPr="001B5FE8" w:rsidRDefault="00760435"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C662B3A" w14:textId="69B43ACC" w:rsidR="00760435" w:rsidRPr="001B5FE8" w:rsidRDefault="00760435"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Perioada de implementare a proiectului nu depășește 31 decembrie 2029</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694F48F" w14:textId="77777777" w:rsidR="00760435" w:rsidRPr="001B5FE8" w:rsidRDefault="00760435"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B76FD65" w14:textId="78910D45" w:rsidR="00760435" w:rsidRPr="001B5FE8" w:rsidRDefault="000F1D0C"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theme="majorHAnsi"/>
                <w:color w:val="auto"/>
                <w:sz w:val="22"/>
                <w:szCs w:val="22"/>
              </w:rPr>
            </w:pPr>
            <w:r>
              <w:rPr>
                <w:rFonts w:asciiTheme="majorHAnsi" w:eastAsiaTheme="minorHAnsi" w:hAnsiTheme="majorHAnsi" w:cstheme="majorHAnsi"/>
                <w:color w:val="auto"/>
                <w:sz w:val="22"/>
                <w:szCs w:val="22"/>
              </w:rPr>
              <w:t>Se verifică graficul de implementare din Secțiunea privind Metodologia de implementare din Cererea de finanțare.</w:t>
            </w:r>
          </w:p>
        </w:tc>
      </w:tr>
    </w:tbl>
    <w:p w14:paraId="0C8B7066" w14:textId="77777777" w:rsidR="00A76FBA" w:rsidRPr="001B5FE8" w:rsidRDefault="00A76FBA" w:rsidP="001B5FE8">
      <w:pPr>
        <w:spacing w:before="0" w:after="0"/>
        <w:ind w:right="-800"/>
        <w:jc w:val="both"/>
        <w:rPr>
          <w:rFonts w:asciiTheme="majorHAnsi" w:hAnsiTheme="majorHAnsi" w:cstheme="majorHAnsi"/>
          <w:sz w:val="22"/>
          <w:szCs w:val="22"/>
        </w:rPr>
      </w:pPr>
    </w:p>
    <w:sectPr w:rsidR="00A76FBA" w:rsidRPr="001B5FE8" w:rsidSect="0017535E">
      <w:headerReference w:type="default" r:id="rId8"/>
      <w:pgSz w:w="15840" w:h="12240" w:orient="landscape"/>
      <w:pgMar w:top="1417" w:right="42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E2B60B" w14:textId="77777777" w:rsidR="0012177C" w:rsidRDefault="0012177C" w:rsidP="00F8261F">
      <w:pPr>
        <w:spacing w:before="0" w:after="0"/>
      </w:pPr>
      <w:r>
        <w:separator/>
      </w:r>
    </w:p>
  </w:endnote>
  <w:endnote w:type="continuationSeparator" w:id="0">
    <w:p w14:paraId="0FD767D1" w14:textId="77777777" w:rsidR="0012177C" w:rsidRDefault="0012177C" w:rsidP="00F8261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50FE42" w14:textId="77777777" w:rsidR="0012177C" w:rsidRDefault="0012177C" w:rsidP="00F8261F">
      <w:pPr>
        <w:spacing w:before="0" w:after="0"/>
      </w:pPr>
      <w:r>
        <w:separator/>
      </w:r>
    </w:p>
  </w:footnote>
  <w:footnote w:type="continuationSeparator" w:id="0">
    <w:p w14:paraId="57E26E62" w14:textId="77777777" w:rsidR="0012177C" w:rsidRDefault="0012177C" w:rsidP="00F8261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D8519" w14:textId="0A01D4EB" w:rsidR="00B07D8A" w:rsidRPr="00B07D8A" w:rsidRDefault="00B07D8A" w:rsidP="00B07D8A">
    <w:pPr>
      <w:pStyle w:val="Header"/>
    </w:pPr>
    <w:r w:rsidRPr="00B07D8A">
      <w:rPr>
        <w:rFonts w:ascii="Calibri" w:eastAsia="Calibri" w:hAnsi="Calibri" w:cs="Calibri"/>
        <w:noProof/>
        <w:sz w:val="22"/>
        <w:szCs w:val="22"/>
      </w:rPr>
      <w:drawing>
        <wp:inline distT="0" distB="0" distL="0" distR="0" wp14:anchorId="0351E3B0" wp14:editId="77987FC5">
          <wp:extent cx="5724525" cy="615950"/>
          <wp:effectExtent l="0" t="0" r="9525"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59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E419E1"/>
    <w:multiLevelType w:val="hybridMultilevel"/>
    <w:tmpl w:val="C1A69B60"/>
    <w:lvl w:ilvl="0" w:tplc="40CC20B0">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05130E"/>
    <w:multiLevelType w:val="multilevel"/>
    <w:tmpl w:val="814E2D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642A76DD"/>
    <w:multiLevelType w:val="hybridMultilevel"/>
    <w:tmpl w:val="B2F0147A"/>
    <w:lvl w:ilvl="0" w:tplc="71401B46">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63233829">
    <w:abstractNumId w:val="1"/>
  </w:num>
  <w:num w:numId="2" w16cid:durableId="172228915">
    <w:abstractNumId w:val="2"/>
  </w:num>
  <w:num w:numId="3" w16cid:durableId="3428969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B13"/>
    <w:rsid w:val="00004960"/>
    <w:rsid w:val="00007F67"/>
    <w:rsid w:val="00026B5C"/>
    <w:rsid w:val="00054250"/>
    <w:rsid w:val="00063D3E"/>
    <w:rsid w:val="00064AA9"/>
    <w:rsid w:val="000A70D1"/>
    <w:rsid w:val="000B08D6"/>
    <w:rsid w:val="000D2EBA"/>
    <w:rsid w:val="000E744D"/>
    <w:rsid w:val="000F1D0C"/>
    <w:rsid w:val="000F5572"/>
    <w:rsid w:val="00106CAC"/>
    <w:rsid w:val="0012177C"/>
    <w:rsid w:val="00141A50"/>
    <w:rsid w:val="00142258"/>
    <w:rsid w:val="00157293"/>
    <w:rsid w:val="0017535E"/>
    <w:rsid w:val="00182052"/>
    <w:rsid w:val="00193ECA"/>
    <w:rsid w:val="001A18B0"/>
    <w:rsid w:val="001B21E6"/>
    <w:rsid w:val="001B5FE8"/>
    <w:rsid w:val="001D1397"/>
    <w:rsid w:val="001E1458"/>
    <w:rsid w:val="001F023D"/>
    <w:rsid w:val="001F0868"/>
    <w:rsid w:val="001F7397"/>
    <w:rsid w:val="00201667"/>
    <w:rsid w:val="0020785A"/>
    <w:rsid w:val="0021120D"/>
    <w:rsid w:val="00216A15"/>
    <w:rsid w:val="00235A6C"/>
    <w:rsid w:val="00244741"/>
    <w:rsid w:val="00245290"/>
    <w:rsid w:val="002556AB"/>
    <w:rsid w:val="00264CDF"/>
    <w:rsid w:val="00270A73"/>
    <w:rsid w:val="002F1BB0"/>
    <w:rsid w:val="00301CA9"/>
    <w:rsid w:val="00304103"/>
    <w:rsid w:val="00305E4B"/>
    <w:rsid w:val="00325260"/>
    <w:rsid w:val="00340D33"/>
    <w:rsid w:val="00342403"/>
    <w:rsid w:val="003536A7"/>
    <w:rsid w:val="003811D1"/>
    <w:rsid w:val="0038685A"/>
    <w:rsid w:val="003B7F18"/>
    <w:rsid w:val="00400A25"/>
    <w:rsid w:val="00403F9A"/>
    <w:rsid w:val="0040556A"/>
    <w:rsid w:val="0041373E"/>
    <w:rsid w:val="0046534C"/>
    <w:rsid w:val="004A74EF"/>
    <w:rsid w:val="004B3F23"/>
    <w:rsid w:val="004C1CE2"/>
    <w:rsid w:val="004C2D44"/>
    <w:rsid w:val="004E3EBE"/>
    <w:rsid w:val="005028E8"/>
    <w:rsid w:val="00503571"/>
    <w:rsid w:val="00504B13"/>
    <w:rsid w:val="00513110"/>
    <w:rsid w:val="00520EB9"/>
    <w:rsid w:val="005322C2"/>
    <w:rsid w:val="00535FCD"/>
    <w:rsid w:val="005558F8"/>
    <w:rsid w:val="00567075"/>
    <w:rsid w:val="00572CF3"/>
    <w:rsid w:val="00584002"/>
    <w:rsid w:val="005978E8"/>
    <w:rsid w:val="005A44AB"/>
    <w:rsid w:val="005B2BCB"/>
    <w:rsid w:val="005E4839"/>
    <w:rsid w:val="005E49FF"/>
    <w:rsid w:val="005F010F"/>
    <w:rsid w:val="005F139A"/>
    <w:rsid w:val="00607085"/>
    <w:rsid w:val="0061216E"/>
    <w:rsid w:val="0063464F"/>
    <w:rsid w:val="006B0674"/>
    <w:rsid w:val="006E3454"/>
    <w:rsid w:val="006E53BE"/>
    <w:rsid w:val="006F53EE"/>
    <w:rsid w:val="00731012"/>
    <w:rsid w:val="0073458A"/>
    <w:rsid w:val="007405FF"/>
    <w:rsid w:val="00760435"/>
    <w:rsid w:val="007610C2"/>
    <w:rsid w:val="0077227B"/>
    <w:rsid w:val="0078136C"/>
    <w:rsid w:val="00795C4D"/>
    <w:rsid w:val="007A6EF2"/>
    <w:rsid w:val="007D5FD5"/>
    <w:rsid w:val="007F7E0E"/>
    <w:rsid w:val="00802076"/>
    <w:rsid w:val="0080297A"/>
    <w:rsid w:val="008111C4"/>
    <w:rsid w:val="00827A95"/>
    <w:rsid w:val="00835D80"/>
    <w:rsid w:val="00860B8E"/>
    <w:rsid w:val="00864625"/>
    <w:rsid w:val="008C537A"/>
    <w:rsid w:val="008E6020"/>
    <w:rsid w:val="008E75FB"/>
    <w:rsid w:val="008F11FD"/>
    <w:rsid w:val="009034F6"/>
    <w:rsid w:val="00903F93"/>
    <w:rsid w:val="00905807"/>
    <w:rsid w:val="009117D7"/>
    <w:rsid w:val="009302AC"/>
    <w:rsid w:val="009342F2"/>
    <w:rsid w:val="0094481D"/>
    <w:rsid w:val="00945D45"/>
    <w:rsid w:val="00956663"/>
    <w:rsid w:val="00964345"/>
    <w:rsid w:val="00974D65"/>
    <w:rsid w:val="0098782A"/>
    <w:rsid w:val="009A60FD"/>
    <w:rsid w:val="009B7106"/>
    <w:rsid w:val="009C5C03"/>
    <w:rsid w:val="009E154F"/>
    <w:rsid w:val="009E7C9D"/>
    <w:rsid w:val="009F6F59"/>
    <w:rsid w:val="00A16281"/>
    <w:rsid w:val="00A24B4B"/>
    <w:rsid w:val="00A24EB0"/>
    <w:rsid w:val="00A42D5A"/>
    <w:rsid w:val="00A71644"/>
    <w:rsid w:val="00A72FDF"/>
    <w:rsid w:val="00A76E0B"/>
    <w:rsid w:val="00A76FBA"/>
    <w:rsid w:val="00A939B1"/>
    <w:rsid w:val="00A97721"/>
    <w:rsid w:val="00A97DB6"/>
    <w:rsid w:val="00AA1AC1"/>
    <w:rsid w:val="00AC0DC9"/>
    <w:rsid w:val="00AD024C"/>
    <w:rsid w:val="00AF7A2C"/>
    <w:rsid w:val="00B00AB8"/>
    <w:rsid w:val="00B07D8A"/>
    <w:rsid w:val="00B3311F"/>
    <w:rsid w:val="00B76BA4"/>
    <w:rsid w:val="00B83682"/>
    <w:rsid w:val="00BB577C"/>
    <w:rsid w:val="00BB5CFF"/>
    <w:rsid w:val="00BC6AE2"/>
    <w:rsid w:val="00BF19BF"/>
    <w:rsid w:val="00C51AFF"/>
    <w:rsid w:val="00C5336D"/>
    <w:rsid w:val="00C659CF"/>
    <w:rsid w:val="00C71278"/>
    <w:rsid w:val="00C83717"/>
    <w:rsid w:val="00C857F9"/>
    <w:rsid w:val="00C86FE9"/>
    <w:rsid w:val="00CC0E94"/>
    <w:rsid w:val="00CC1D5C"/>
    <w:rsid w:val="00CE09EC"/>
    <w:rsid w:val="00CE196F"/>
    <w:rsid w:val="00CE72D7"/>
    <w:rsid w:val="00D02805"/>
    <w:rsid w:val="00D37D8D"/>
    <w:rsid w:val="00D40C3F"/>
    <w:rsid w:val="00D80E8A"/>
    <w:rsid w:val="00D93F6E"/>
    <w:rsid w:val="00D97A07"/>
    <w:rsid w:val="00DA240A"/>
    <w:rsid w:val="00DB2CF2"/>
    <w:rsid w:val="00DB441A"/>
    <w:rsid w:val="00DB78AA"/>
    <w:rsid w:val="00DD46E6"/>
    <w:rsid w:val="00DF27CB"/>
    <w:rsid w:val="00DF5EEC"/>
    <w:rsid w:val="00E144F4"/>
    <w:rsid w:val="00E62821"/>
    <w:rsid w:val="00E7674F"/>
    <w:rsid w:val="00E82487"/>
    <w:rsid w:val="00E824F9"/>
    <w:rsid w:val="00E91AC8"/>
    <w:rsid w:val="00EA2402"/>
    <w:rsid w:val="00EB14EA"/>
    <w:rsid w:val="00EB6088"/>
    <w:rsid w:val="00EC4834"/>
    <w:rsid w:val="00ED7B4B"/>
    <w:rsid w:val="00EE1B4C"/>
    <w:rsid w:val="00EE3B11"/>
    <w:rsid w:val="00EE570E"/>
    <w:rsid w:val="00F059DD"/>
    <w:rsid w:val="00F16869"/>
    <w:rsid w:val="00F272E5"/>
    <w:rsid w:val="00F323D0"/>
    <w:rsid w:val="00F373FE"/>
    <w:rsid w:val="00F3753A"/>
    <w:rsid w:val="00F43AB5"/>
    <w:rsid w:val="00F46B21"/>
    <w:rsid w:val="00F5636F"/>
    <w:rsid w:val="00F703CD"/>
    <w:rsid w:val="00F8261F"/>
    <w:rsid w:val="00F86DA5"/>
    <w:rsid w:val="00FA06CA"/>
    <w:rsid w:val="00FB2E71"/>
    <w:rsid w:val="00FD3F78"/>
    <w:rsid w:val="00FD4BF0"/>
    <w:rsid w:val="00FD786C"/>
    <w:rsid w:val="00FE3D18"/>
    <w:rsid w:val="00FF3F96"/>
    <w:rsid w:val="00FF7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B5991"/>
  <w15:chartTrackingRefBased/>
  <w15:docId w15:val="{B0832DA9-6D4B-4C42-879E-D7718D043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4B13"/>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04B13"/>
    <w:pPr>
      <w:tabs>
        <w:tab w:val="center" w:pos="4320"/>
        <w:tab w:val="right" w:pos="8640"/>
      </w:tabs>
    </w:pPr>
  </w:style>
  <w:style w:type="character" w:customStyle="1" w:styleId="HeaderChar">
    <w:name w:val="Header Char"/>
    <w:basedOn w:val="DefaultParagraphFont"/>
    <w:link w:val="Header"/>
    <w:rsid w:val="00504B13"/>
    <w:rPr>
      <w:rFonts w:ascii="Trebuchet MS" w:eastAsia="Times New Roman" w:hAnsi="Trebuchet MS" w:cs="Times New Roman"/>
      <w:sz w:val="20"/>
      <w:szCs w:val="24"/>
      <w:lang w:val="ro-RO"/>
    </w:rPr>
  </w:style>
  <w:style w:type="paragraph" w:styleId="ListParagraph">
    <w:name w:val="List Paragraph"/>
    <w:aliases w:val="Akapit z listą BS,Outlines a.b.c.,List_Paragraph,Multilevel para_II,Akapit z lista BS,List Paragraph1"/>
    <w:basedOn w:val="Normal"/>
    <w:link w:val="ListParagraphChar"/>
    <w:uiPriority w:val="34"/>
    <w:qFormat/>
    <w:rsid w:val="003B7F18"/>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3B7F18"/>
    <w:rPr>
      <w:rFonts w:ascii="Times New Roman" w:eastAsia="Times New Roman" w:hAnsi="Times New Roman" w:cs="Times New Roman"/>
      <w:sz w:val="24"/>
      <w:szCs w:val="20"/>
      <w:lang w:val="ro-RO" w:eastAsia="ro-RO"/>
    </w:rPr>
  </w:style>
  <w:style w:type="paragraph" w:styleId="FootnoteText">
    <w:name w:val="footnote text"/>
    <w:basedOn w:val="Normal"/>
    <w:link w:val="FootnoteTextChar"/>
    <w:uiPriority w:val="99"/>
    <w:semiHidden/>
    <w:unhideWhenUsed/>
    <w:rsid w:val="00F8261F"/>
    <w:pPr>
      <w:spacing w:before="0" w:after="0"/>
    </w:pPr>
    <w:rPr>
      <w:szCs w:val="20"/>
    </w:rPr>
  </w:style>
  <w:style w:type="character" w:customStyle="1" w:styleId="FootnoteTextChar">
    <w:name w:val="Footnote Text Char"/>
    <w:basedOn w:val="DefaultParagraphFont"/>
    <w:link w:val="FootnoteText"/>
    <w:uiPriority w:val="99"/>
    <w:semiHidden/>
    <w:rsid w:val="00F8261F"/>
    <w:rPr>
      <w:rFonts w:ascii="Trebuchet MS" w:eastAsia="Times New Roman" w:hAnsi="Trebuchet MS" w:cs="Times New Roman"/>
      <w:sz w:val="20"/>
      <w:szCs w:val="20"/>
      <w:lang w:val="ro-RO"/>
    </w:rPr>
  </w:style>
  <w:style w:type="character" w:styleId="FootnoteReference">
    <w:name w:val="footnote reference"/>
    <w:basedOn w:val="DefaultParagraphFont"/>
    <w:uiPriority w:val="99"/>
    <w:semiHidden/>
    <w:unhideWhenUsed/>
    <w:rsid w:val="00F8261F"/>
    <w:rPr>
      <w:vertAlign w:val="superscript"/>
    </w:rPr>
  </w:style>
  <w:style w:type="table" w:styleId="GridTable6Colorful-Accent5">
    <w:name w:val="Grid Table 6 Colorful Accent 5"/>
    <w:basedOn w:val="TableNormal"/>
    <w:uiPriority w:val="51"/>
    <w:rsid w:val="00A76FBA"/>
    <w:pPr>
      <w:spacing w:after="0" w:line="240" w:lineRule="auto"/>
    </w:pPr>
    <w:rPr>
      <w:color w:val="2E74B5" w:themeColor="accent5" w:themeShade="BF"/>
      <w:lang w:val="ro-RO"/>
    </w:rPr>
    <w:tblPr>
      <w:tblStyleRowBandSize w:val="1"/>
      <w:tblStyleColBandSize w:val="1"/>
      <w:tblInd w:w="0" w:type="nil"/>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Revision">
    <w:name w:val="Revision"/>
    <w:hidden/>
    <w:uiPriority w:val="99"/>
    <w:semiHidden/>
    <w:rsid w:val="00DF27CB"/>
    <w:pPr>
      <w:spacing w:after="0" w:line="240" w:lineRule="auto"/>
    </w:pPr>
    <w:rPr>
      <w:rFonts w:ascii="Trebuchet MS" w:eastAsia="Times New Roman" w:hAnsi="Trebuchet MS" w:cs="Times New Roman"/>
      <w:sz w:val="20"/>
      <w:szCs w:val="24"/>
      <w:lang w:val="ro-RO"/>
    </w:rPr>
  </w:style>
  <w:style w:type="character" w:styleId="CommentReference">
    <w:name w:val="annotation reference"/>
    <w:basedOn w:val="DefaultParagraphFont"/>
    <w:uiPriority w:val="99"/>
    <w:semiHidden/>
    <w:unhideWhenUsed/>
    <w:rsid w:val="00CE09EC"/>
    <w:rPr>
      <w:sz w:val="16"/>
      <w:szCs w:val="16"/>
    </w:rPr>
  </w:style>
  <w:style w:type="paragraph" w:styleId="CommentText">
    <w:name w:val="annotation text"/>
    <w:basedOn w:val="Normal"/>
    <w:link w:val="CommentTextChar"/>
    <w:uiPriority w:val="99"/>
    <w:unhideWhenUsed/>
    <w:rsid w:val="00CE09EC"/>
    <w:rPr>
      <w:szCs w:val="20"/>
    </w:rPr>
  </w:style>
  <w:style w:type="character" w:customStyle="1" w:styleId="CommentTextChar">
    <w:name w:val="Comment Text Char"/>
    <w:basedOn w:val="DefaultParagraphFont"/>
    <w:link w:val="CommentText"/>
    <w:uiPriority w:val="99"/>
    <w:rsid w:val="00CE09EC"/>
    <w:rPr>
      <w:rFonts w:ascii="Trebuchet MS" w:eastAsia="Times New Roman" w:hAnsi="Trebuchet M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09EC"/>
    <w:rPr>
      <w:b/>
      <w:bCs/>
    </w:rPr>
  </w:style>
  <w:style w:type="character" w:customStyle="1" w:styleId="CommentSubjectChar">
    <w:name w:val="Comment Subject Char"/>
    <w:basedOn w:val="CommentTextChar"/>
    <w:link w:val="CommentSubject"/>
    <w:uiPriority w:val="99"/>
    <w:semiHidden/>
    <w:rsid w:val="00CE09EC"/>
    <w:rPr>
      <w:rFonts w:ascii="Trebuchet MS" w:eastAsia="Times New Roman" w:hAnsi="Trebuchet MS" w:cs="Times New Roman"/>
      <w:b/>
      <w:bCs/>
      <w:sz w:val="20"/>
      <w:szCs w:val="20"/>
      <w:lang w:val="ro-RO"/>
    </w:rPr>
  </w:style>
  <w:style w:type="paragraph" w:styleId="Footer">
    <w:name w:val="footer"/>
    <w:basedOn w:val="Normal"/>
    <w:link w:val="FooterChar"/>
    <w:uiPriority w:val="99"/>
    <w:unhideWhenUsed/>
    <w:rsid w:val="00B07D8A"/>
    <w:pPr>
      <w:tabs>
        <w:tab w:val="center" w:pos="4680"/>
        <w:tab w:val="right" w:pos="9360"/>
      </w:tabs>
      <w:spacing w:before="0" w:after="0"/>
    </w:pPr>
  </w:style>
  <w:style w:type="character" w:customStyle="1" w:styleId="FooterChar">
    <w:name w:val="Footer Char"/>
    <w:basedOn w:val="DefaultParagraphFont"/>
    <w:link w:val="Footer"/>
    <w:uiPriority w:val="99"/>
    <w:rsid w:val="00B07D8A"/>
    <w:rPr>
      <w:rFonts w:ascii="Trebuchet MS" w:eastAsia="Times New Roman" w:hAnsi="Trebuchet MS" w:cs="Times New Roman"/>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1065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264A5C-B452-4261-9C62-5B46027F0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7</Pages>
  <Words>1749</Words>
  <Characters>9973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Stanica</dc:creator>
  <cp:keywords/>
  <dc:description/>
  <cp:lastModifiedBy>spla</cp:lastModifiedBy>
  <cp:revision>15</cp:revision>
  <dcterms:created xsi:type="dcterms:W3CDTF">2024-03-29T08:46:00Z</dcterms:created>
  <dcterms:modified xsi:type="dcterms:W3CDTF">2025-09-29T13:21:00Z</dcterms:modified>
</cp:coreProperties>
</file>